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E18E2" w:rsidP="004E18E2">
      <w:pPr>
        <w:jc w:val="center"/>
        <w:rPr>
          <w:rFonts w:hint="eastAsia"/>
          <w:b/>
          <w:bCs/>
          <w:color w:val="333333"/>
          <w:kern w:val="36"/>
          <w:sz w:val="32"/>
          <w:szCs w:val="32"/>
        </w:rPr>
      </w:pPr>
      <w:r>
        <w:rPr>
          <w:rFonts w:hint="eastAsia"/>
          <w:b/>
          <w:bCs/>
          <w:color w:val="333333"/>
          <w:kern w:val="36"/>
          <w:sz w:val="32"/>
          <w:szCs w:val="32"/>
        </w:rPr>
        <w:t>佛山市南海区国土城建和水务局关于印发危险性较大分部分项工程专项整治行动工作方案的通知</w:t>
      </w:r>
    </w:p>
    <w:p w:rsidR="004E18E2" w:rsidRDefault="004E18E2" w:rsidP="004E18E2">
      <w:pPr>
        <w:rPr>
          <w:rFonts w:hint="eastAsia"/>
          <w:b/>
          <w:bCs/>
          <w:color w:val="333333"/>
          <w:kern w:val="36"/>
          <w:sz w:val="32"/>
          <w:szCs w:val="32"/>
        </w:rPr>
      </w:pPr>
    </w:p>
    <w:p w:rsidR="004E18E2" w:rsidRPr="004E18E2" w:rsidRDefault="004E18E2" w:rsidP="004E18E2">
      <w:pPr>
        <w:widowControl/>
        <w:spacing w:line="375" w:lineRule="atLeast"/>
        <w:jc w:val="center"/>
        <w:rPr>
          <w:rFonts w:ascii="宋体" w:eastAsia="宋体" w:hAnsi="宋体" w:cs="宋体"/>
          <w:color w:val="333333"/>
          <w:kern w:val="0"/>
          <w:szCs w:val="21"/>
        </w:rPr>
      </w:pPr>
      <w:r w:rsidRPr="004E18E2">
        <w:rPr>
          <w:rFonts w:ascii="仿宋_GB2312" w:eastAsia="仿宋_GB2312" w:hAnsi="宋体" w:cs="宋体" w:hint="eastAsia"/>
          <w:color w:val="333333"/>
          <w:kern w:val="0"/>
          <w:sz w:val="24"/>
          <w:szCs w:val="24"/>
        </w:rPr>
        <w:t>南建设〔2016〕36号</w:t>
      </w:r>
    </w:p>
    <w:p w:rsidR="004E18E2" w:rsidRPr="004E18E2" w:rsidRDefault="004E18E2" w:rsidP="004E18E2">
      <w:pPr>
        <w:widowControl/>
        <w:spacing w:line="640" w:lineRule="atLeast"/>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各镇(街道)国土城建和水务局，区建筑工程施工安全监督站，各建设、施工和监理单位：</w:t>
      </w:r>
    </w:p>
    <w:p w:rsidR="004E18E2" w:rsidRPr="004E18E2" w:rsidRDefault="004E18E2" w:rsidP="004E18E2">
      <w:pPr>
        <w:widowControl/>
        <w:spacing w:line="64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为强化施工现场安全管理，落实企业和从业人员安全管理责任，确保危险性较大的分部分项工程施工安全可控，实现有效防范和遏制较大及重特大事故，依据《建筑法》、《建设工程安全生产管理条例》、《关于印发〈危险性较大的分部分项工程安全管理办法〉的通知》（建质〔2009〕87号）和《关于印发广东省住房和城乡建设厅关于〈危险性较大的分部分项工程安全管理办法〉的实施细则的通知》（粤建质〔2011〕13号），结合我区房屋建筑及市政基础设施工程实际情况，制定了《危险性较大分部分项工程专项整治行动工作方案》。现印发给你们，请遵照执行。</w:t>
      </w:r>
    </w:p>
    <w:p w:rsidR="004E18E2" w:rsidRDefault="004E18E2" w:rsidP="004E18E2">
      <w:pPr>
        <w:widowControl/>
        <w:spacing w:line="640" w:lineRule="atLeast"/>
        <w:rPr>
          <w:rFonts w:ascii="宋体" w:eastAsia="宋体" w:hAnsi="宋体" w:cs="宋体" w:hint="eastAsia"/>
          <w:color w:val="333333"/>
          <w:kern w:val="0"/>
          <w:szCs w:val="21"/>
        </w:rPr>
      </w:pPr>
    </w:p>
    <w:p w:rsidR="004E18E2" w:rsidRPr="004E18E2" w:rsidRDefault="004E18E2" w:rsidP="004E18E2">
      <w:pPr>
        <w:widowControl/>
        <w:spacing w:line="640" w:lineRule="atLeast"/>
        <w:rPr>
          <w:rFonts w:ascii="宋体" w:eastAsia="宋体" w:hAnsi="宋体" w:cs="宋体" w:hint="eastAsia"/>
          <w:color w:val="333333"/>
          <w:kern w:val="0"/>
          <w:szCs w:val="21"/>
        </w:rPr>
      </w:pPr>
    </w:p>
    <w:p w:rsidR="004E18E2" w:rsidRPr="004E18E2" w:rsidRDefault="004E18E2" w:rsidP="004E18E2">
      <w:pPr>
        <w:widowControl/>
        <w:spacing w:line="640" w:lineRule="atLeast"/>
        <w:rPr>
          <w:rFonts w:ascii="宋体" w:eastAsia="宋体" w:hAnsi="宋体" w:cs="宋体" w:hint="eastAsia"/>
          <w:color w:val="333333"/>
          <w:kern w:val="0"/>
          <w:szCs w:val="21"/>
        </w:rPr>
      </w:pPr>
    </w:p>
    <w:p w:rsidR="004E18E2" w:rsidRPr="004E18E2" w:rsidRDefault="004E18E2" w:rsidP="004E18E2">
      <w:pPr>
        <w:widowControl/>
        <w:spacing w:line="640" w:lineRule="atLeast"/>
        <w:ind w:firstLine="400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佛山市南海区国土城建和水务局</w:t>
      </w:r>
    </w:p>
    <w:p w:rsidR="004E18E2" w:rsidRPr="004E18E2" w:rsidRDefault="004E18E2" w:rsidP="004E18E2">
      <w:pPr>
        <w:widowControl/>
        <w:spacing w:line="640" w:lineRule="atLeast"/>
        <w:ind w:left="1526" w:firstLine="496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2016年3月18日</w:t>
      </w:r>
    </w:p>
    <w:p w:rsidR="004E18E2" w:rsidRPr="004E18E2" w:rsidRDefault="004E18E2" w:rsidP="004E18E2">
      <w:pPr>
        <w:widowControl/>
        <w:spacing w:line="240" w:lineRule="atLeast"/>
        <w:rPr>
          <w:rFonts w:ascii="宋体" w:eastAsia="宋体" w:hAnsi="宋体" w:cs="宋体" w:hint="eastAsia"/>
          <w:color w:val="333333"/>
          <w:kern w:val="0"/>
          <w:szCs w:val="21"/>
        </w:rPr>
      </w:pPr>
    </w:p>
    <w:p w:rsidR="004E18E2" w:rsidRPr="004E18E2" w:rsidRDefault="004E18E2" w:rsidP="004E18E2">
      <w:pPr>
        <w:widowControl/>
        <w:spacing w:line="240" w:lineRule="atLeast"/>
        <w:rPr>
          <w:rFonts w:ascii="宋体" w:eastAsia="宋体" w:hAnsi="宋体" w:cs="宋体" w:hint="eastAsia"/>
          <w:color w:val="333333"/>
          <w:kern w:val="0"/>
          <w:szCs w:val="21"/>
        </w:rPr>
      </w:pPr>
    </w:p>
    <w:p w:rsidR="004E18E2" w:rsidRPr="004E18E2" w:rsidRDefault="004E18E2" w:rsidP="004E18E2">
      <w:pPr>
        <w:widowControl/>
        <w:spacing w:line="240" w:lineRule="atLeast"/>
        <w:rPr>
          <w:rFonts w:ascii="宋体" w:eastAsia="宋体" w:hAnsi="宋体" w:cs="宋体" w:hint="eastAsia"/>
          <w:color w:val="333333"/>
          <w:kern w:val="0"/>
          <w:szCs w:val="21"/>
        </w:rPr>
      </w:pPr>
    </w:p>
    <w:p w:rsidR="004E18E2" w:rsidRPr="004E18E2" w:rsidRDefault="004E18E2" w:rsidP="004E18E2">
      <w:pPr>
        <w:widowControl/>
        <w:spacing w:line="240" w:lineRule="atLeast"/>
        <w:rPr>
          <w:rFonts w:ascii="宋体" w:eastAsia="宋体" w:hAnsi="宋体" w:cs="宋体" w:hint="eastAsia"/>
          <w:color w:val="333333"/>
          <w:kern w:val="0"/>
          <w:szCs w:val="21"/>
        </w:rPr>
      </w:pPr>
    </w:p>
    <w:p w:rsidR="004E18E2" w:rsidRPr="004E18E2" w:rsidRDefault="004E18E2" w:rsidP="004E18E2">
      <w:pPr>
        <w:widowControl/>
        <w:spacing w:line="240" w:lineRule="atLeast"/>
        <w:rPr>
          <w:rFonts w:ascii="宋体" w:eastAsia="宋体" w:hAnsi="宋体" w:cs="宋体" w:hint="eastAsia"/>
          <w:color w:val="333333"/>
          <w:kern w:val="0"/>
          <w:szCs w:val="21"/>
        </w:rPr>
      </w:pPr>
    </w:p>
    <w:p w:rsidR="004E18E2" w:rsidRPr="004E18E2" w:rsidRDefault="004E18E2" w:rsidP="004E18E2">
      <w:pPr>
        <w:widowControl/>
        <w:spacing w:line="640" w:lineRule="atLeast"/>
        <w:jc w:val="center"/>
        <w:rPr>
          <w:rFonts w:ascii="宋体" w:eastAsia="宋体" w:hAnsi="宋体" w:cs="宋体" w:hint="eastAsia"/>
          <w:color w:val="333333"/>
          <w:kern w:val="0"/>
          <w:sz w:val="30"/>
          <w:szCs w:val="30"/>
        </w:rPr>
      </w:pPr>
      <w:r w:rsidRPr="004E18E2">
        <w:rPr>
          <w:rFonts w:ascii="方正小标宋简体" w:eastAsia="方正小标宋简体" w:hAnsi="宋体" w:cs="宋体" w:hint="eastAsia"/>
          <w:color w:val="333333"/>
          <w:kern w:val="0"/>
          <w:sz w:val="30"/>
          <w:szCs w:val="30"/>
        </w:rPr>
        <w:lastRenderedPageBreak/>
        <w:t>危险性较大分部分项工程专项整治行动工作方案</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为强化施工现场安全管理，落实企业和从业人员安全管理责任，确保危险性较大的分部分项工程施工安全可控，实现有效防范和遏制较大及重特大事故，依据《建筑法》、《建设工程安全生产管理条例》、《关于印发〈危险性较大的分部分项工程安全管理办法〉的通知》（建质〔2009〕87号）和《关于印发广东省住房和城乡建设厅关于〈危险性较大的分部分项工程安全管理办法〉的实施细则的通知》（粤建质〔2011〕13号），结合我区房屋建筑及市政基础设施工程实际情况，特制定本方案。</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t>一、工作目标</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强化施工现场安全管理，坚决从严打击落实企业和从业人员安全管理责任，提高企业和从业人员遵法守规意识，降低施工现场系统性安全风险，确保危险性较大的分部分项工程施工有方案，方案经论证，并严格按照经论证的方案组织实施，有效预防和减少建筑施工生产安全事故，尤其是严防较大及以上事故的发生，保障人民群众生命和财产安全。</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t>二、领导机构</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为确保取得实效，我局成立危险性较大的分部分项工程专项整治行动工作领导小组，负责本次专项整治的统一领导、组织协调、监督检查和责任考核。</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组</w:t>
      </w:r>
      <w:r>
        <w:rPr>
          <w:rFonts w:ascii="仿宋_GB2312" w:eastAsia="仿宋_GB2312" w:hAnsi="宋体" w:cs="宋体" w:hint="eastAsia"/>
          <w:color w:val="333333"/>
          <w:kern w:val="0"/>
          <w:sz w:val="24"/>
          <w:szCs w:val="24"/>
        </w:rPr>
        <w:t xml:space="preserve"> </w:t>
      </w:r>
      <w:r w:rsidRPr="004E18E2">
        <w:rPr>
          <w:rFonts w:ascii="仿宋_GB2312" w:eastAsia="仿宋_GB2312" w:hAnsi="宋体" w:cs="宋体" w:hint="eastAsia"/>
          <w:color w:val="333333"/>
          <w:kern w:val="0"/>
          <w:sz w:val="24"/>
          <w:szCs w:val="24"/>
        </w:rPr>
        <w:t xml:space="preserve"> 长：刘浩文</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副组长：黄玮瑜</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成</w:t>
      </w:r>
      <w:r>
        <w:rPr>
          <w:rFonts w:ascii="仿宋_GB2312" w:eastAsia="仿宋_GB2312" w:hAnsi="宋体" w:cs="宋体" w:hint="eastAsia"/>
          <w:color w:val="333333"/>
          <w:kern w:val="0"/>
          <w:sz w:val="24"/>
          <w:szCs w:val="24"/>
        </w:rPr>
        <w:t xml:space="preserve"> </w:t>
      </w:r>
      <w:r w:rsidRPr="004E18E2">
        <w:rPr>
          <w:rFonts w:ascii="仿宋_GB2312" w:eastAsia="仿宋_GB2312" w:hAnsi="宋体" w:cs="宋体" w:hint="eastAsia"/>
          <w:color w:val="333333"/>
          <w:kern w:val="0"/>
          <w:sz w:val="24"/>
          <w:szCs w:val="24"/>
        </w:rPr>
        <w:t xml:space="preserve"> 员：周群建、周家鹏、徐琼、陈桂科</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领导小组办公室设在局质量安全监管科，负责本次专项整治的统筹协调、检查督办及其他具体工作的落实。</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t>三、整治期限、范围及内容</w:t>
      </w:r>
    </w:p>
    <w:p w:rsidR="004E18E2" w:rsidRPr="004E18E2" w:rsidRDefault="004E18E2" w:rsidP="004E18E2">
      <w:pPr>
        <w:widowControl/>
        <w:spacing w:line="600" w:lineRule="atLeast"/>
        <w:ind w:firstLine="643"/>
        <w:rPr>
          <w:rFonts w:ascii="宋体" w:eastAsia="宋体" w:hAnsi="宋体" w:cs="宋体" w:hint="eastAsia"/>
          <w:color w:val="333333"/>
          <w:kern w:val="0"/>
          <w:szCs w:val="21"/>
        </w:rPr>
      </w:pPr>
      <w:r w:rsidRPr="004E18E2">
        <w:rPr>
          <w:rFonts w:ascii="楷体_GB2312" w:eastAsia="楷体_GB2312" w:hAnsi="宋体" w:cs="宋体" w:hint="eastAsia"/>
          <w:b/>
          <w:bCs/>
          <w:color w:val="333333"/>
          <w:kern w:val="0"/>
          <w:sz w:val="24"/>
          <w:szCs w:val="24"/>
        </w:rPr>
        <w:lastRenderedPageBreak/>
        <w:t>（一）整治期限</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本次专项整治行动时间为发文日起至2016年底。</w:t>
      </w:r>
    </w:p>
    <w:p w:rsidR="004E18E2" w:rsidRPr="004E18E2" w:rsidRDefault="004E18E2" w:rsidP="004E18E2">
      <w:pPr>
        <w:widowControl/>
        <w:spacing w:line="600" w:lineRule="atLeast"/>
        <w:ind w:firstLine="643"/>
        <w:rPr>
          <w:rFonts w:ascii="宋体" w:eastAsia="宋体" w:hAnsi="宋体" w:cs="宋体" w:hint="eastAsia"/>
          <w:color w:val="333333"/>
          <w:kern w:val="0"/>
          <w:szCs w:val="21"/>
        </w:rPr>
      </w:pPr>
      <w:r w:rsidRPr="004E18E2">
        <w:rPr>
          <w:rFonts w:ascii="楷体_GB2312" w:eastAsia="楷体_GB2312" w:hAnsi="宋体" w:cs="宋体" w:hint="eastAsia"/>
          <w:b/>
          <w:bCs/>
          <w:color w:val="333333"/>
          <w:kern w:val="0"/>
          <w:sz w:val="24"/>
          <w:szCs w:val="24"/>
        </w:rPr>
        <w:t>（二）整治范围</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超过一定规模的危险性较大的分部分项工程（详见附件1）。</w:t>
      </w:r>
    </w:p>
    <w:p w:rsidR="004E18E2" w:rsidRPr="004E18E2" w:rsidRDefault="004E18E2" w:rsidP="004E18E2">
      <w:pPr>
        <w:widowControl/>
        <w:spacing w:line="600" w:lineRule="atLeast"/>
        <w:ind w:firstLine="643"/>
        <w:rPr>
          <w:rFonts w:ascii="宋体" w:eastAsia="宋体" w:hAnsi="宋体" w:cs="宋体" w:hint="eastAsia"/>
          <w:color w:val="333333"/>
          <w:kern w:val="0"/>
          <w:szCs w:val="21"/>
        </w:rPr>
      </w:pPr>
      <w:r w:rsidRPr="004E18E2">
        <w:rPr>
          <w:rFonts w:ascii="楷体_GB2312" w:eastAsia="楷体_GB2312" w:hAnsi="宋体" w:cs="宋体" w:hint="eastAsia"/>
          <w:b/>
          <w:bCs/>
          <w:color w:val="333333"/>
          <w:kern w:val="0"/>
          <w:sz w:val="24"/>
          <w:szCs w:val="24"/>
        </w:rPr>
        <w:t>（三）整治内容</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1.施工作业前必须编制施工方案；</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2.施工方案必须按规定审批和论证；</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3.施工作业前必须进行安全技术交底；</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4.施工过程中必须严格按施工方案施工；</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5.施工方案完成后必须经验收合格后方可进入下道工序。</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t>四、工作任务</w:t>
      </w:r>
    </w:p>
    <w:p w:rsidR="004E18E2" w:rsidRPr="004E18E2" w:rsidRDefault="004E18E2" w:rsidP="004E18E2">
      <w:pPr>
        <w:widowControl/>
        <w:spacing w:line="600" w:lineRule="atLeast"/>
        <w:ind w:firstLine="643"/>
        <w:rPr>
          <w:rFonts w:ascii="宋体" w:eastAsia="宋体" w:hAnsi="宋体" w:cs="宋体" w:hint="eastAsia"/>
          <w:color w:val="333333"/>
          <w:kern w:val="0"/>
          <w:szCs w:val="21"/>
        </w:rPr>
      </w:pPr>
      <w:r w:rsidRPr="004E18E2">
        <w:rPr>
          <w:rFonts w:ascii="楷体_GB2312" w:eastAsia="楷体_GB2312" w:hAnsi="宋体" w:cs="宋体" w:hint="eastAsia"/>
          <w:b/>
          <w:bCs/>
          <w:color w:val="333333"/>
          <w:kern w:val="0"/>
          <w:sz w:val="24"/>
          <w:szCs w:val="24"/>
        </w:rPr>
        <w:t>（一）落实企业主体责任</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各建设、施工和监理企业应定期开展危险性较大分部分项工程隐患自查自纠正，填写好《危险性较大分部分项工程实施情况自查表》（详见附件2）并留置备查，监理单位应以监理月报、快报等方式及时向各镇（街道）国土城建和水务局、区建筑工程施工安全监督站报送危险性较大分部分项工程施工状况。</w:t>
      </w:r>
    </w:p>
    <w:p w:rsidR="004E18E2" w:rsidRPr="004E18E2" w:rsidRDefault="004E18E2" w:rsidP="004E18E2">
      <w:pPr>
        <w:widowControl/>
        <w:spacing w:line="600" w:lineRule="atLeast"/>
        <w:ind w:firstLine="643"/>
        <w:rPr>
          <w:rFonts w:ascii="宋体" w:eastAsia="宋体" w:hAnsi="宋体" w:cs="宋体" w:hint="eastAsia"/>
          <w:color w:val="333333"/>
          <w:kern w:val="0"/>
          <w:szCs w:val="21"/>
        </w:rPr>
      </w:pPr>
      <w:r w:rsidRPr="004E18E2">
        <w:rPr>
          <w:rFonts w:ascii="楷体_GB2312" w:eastAsia="楷体_GB2312" w:hAnsi="宋体" w:cs="宋体" w:hint="eastAsia"/>
          <w:b/>
          <w:bCs/>
          <w:color w:val="333333"/>
          <w:kern w:val="0"/>
          <w:sz w:val="24"/>
          <w:szCs w:val="24"/>
        </w:rPr>
        <w:t>（二）严格执法、消除隐患</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各镇（街道）国土城建和水务局、区建筑工程施工安全监督站要高度重视，按部门职责，将监管责任落实到人，加强对危险性较大的分部分项工程的施工方案编制、审批及论证流程、是否按方案施工及验收情况的监管，对施工现场存在的危险性较大的分部分项工程无施工方案、不按方案及操作规程施工、经未经验收合格后进入下道工序等造成安全隐患的，应依法责令立即消除或限期整改；发</w:t>
      </w:r>
      <w:r w:rsidRPr="004E18E2">
        <w:rPr>
          <w:rFonts w:ascii="仿宋_GB2312" w:eastAsia="仿宋_GB2312" w:hAnsi="宋体" w:cs="宋体" w:hint="eastAsia"/>
          <w:color w:val="333333"/>
          <w:kern w:val="0"/>
          <w:sz w:val="24"/>
          <w:szCs w:val="24"/>
        </w:rPr>
        <w:lastRenderedPageBreak/>
        <w:t>现重大安全隐患的，应依法责令停工。对存在责令整改或停工拒不执行的企业，相关部门应及时提请上级部门进行处理。</w:t>
      </w:r>
    </w:p>
    <w:p w:rsidR="004E18E2" w:rsidRPr="004E18E2" w:rsidRDefault="004E18E2" w:rsidP="004E18E2">
      <w:pPr>
        <w:widowControl/>
        <w:spacing w:line="600" w:lineRule="atLeast"/>
        <w:ind w:firstLine="643"/>
        <w:rPr>
          <w:rFonts w:ascii="宋体" w:eastAsia="宋体" w:hAnsi="宋体" w:cs="宋体" w:hint="eastAsia"/>
          <w:color w:val="333333"/>
          <w:kern w:val="0"/>
          <w:szCs w:val="21"/>
        </w:rPr>
      </w:pPr>
      <w:r w:rsidRPr="004E18E2">
        <w:rPr>
          <w:rFonts w:ascii="楷体_GB2312" w:eastAsia="楷体_GB2312" w:hAnsi="宋体" w:cs="宋体" w:hint="eastAsia"/>
          <w:b/>
          <w:bCs/>
          <w:color w:val="333333"/>
          <w:kern w:val="0"/>
          <w:sz w:val="24"/>
          <w:szCs w:val="24"/>
        </w:rPr>
        <w:t>（三）督查考核</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区国土城建和水务局将根据各镇（街道）国土城建和水务局、区建筑工程施工安全监督站的检查情况，每月采取</w:t>
      </w:r>
      <w:r w:rsidRPr="004E18E2">
        <w:rPr>
          <w:rFonts w:ascii="Times New Roman" w:eastAsia="宋体" w:hAnsi="Times New Roman" w:cs="Times New Roman"/>
          <w:color w:val="333333"/>
          <w:kern w:val="0"/>
          <w:sz w:val="24"/>
          <w:szCs w:val="24"/>
        </w:rPr>
        <w:t>“</w:t>
      </w:r>
      <w:r w:rsidRPr="004E18E2">
        <w:rPr>
          <w:rFonts w:ascii="仿宋_GB2312" w:eastAsia="仿宋_GB2312" w:hAnsi="宋体" w:cs="宋体" w:hint="eastAsia"/>
          <w:color w:val="333333"/>
          <w:kern w:val="0"/>
          <w:sz w:val="24"/>
          <w:szCs w:val="24"/>
        </w:rPr>
        <w:t>飞行检查</w:t>
      </w:r>
      <w:r w:rsidRPr="004E18E2">
        <w:rPr>
          <w:rFonts w:ascii="Times New Roman" w:eastAsia="宋体" w:hAnsi="Times New Roman" w:cs="Times New Roman"/>
          <w:color w:val="333333"/>
          <w:kern w:val="0"/>
          <w:sz w:val="24"/>
          <w:szCs w:val="24"/>
        </w:rPr>
        <w:t>”</w:t>
      </w:r>
      <w:r w:rsidRPr="004E18E2">
        <w:rPr>
          <w:rFonts w:ascii="仿宋_GB2312" w:eastAsia="仿宋_GB2312" w:hAnsi="宋体" w:cs="宋体" w:hint="eastAsia"/>
          <w:color w:val="333333"/>
          <w:kern w:val="0"/>
          <w:sz w:val="24"/>
          <w:szCs w:val="24"/>
        </w:rPr>
        <w:t>的方式进行暗查抽查，检查内容包括危险性较大分部分项工程的实施情况和监督人员的监督检查情况。检查情况将进行定期通报，对存在违法违规行为的责任单位进行安全动态扣分和诚信扣分，监督人员的监督检查情况纳入对各镇（街道）国土城建和水务局、区建筑工程施工安全监督站的考核。</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t>五、工作要求</w:t>
      </w:r>
    </w:p>
    <w:p w:rsidR="004E18E2" w:rsidRPr="004E18E2" w:rsidRDefault="004E18E2" w:rsidP="004E18E2">
      <w:pPr>
        <w:widowControl/>
        <w:spacing w:line="600" w:lineRule="atLeast"/>
        <w:ind w:firstLine="643"/>
        <w:rPr>
          <w:rFonts w:ascii="宋体" w:eastAsia="宋体" w:hAnsi="宋体" w:cs="宋体" w:hint="eastAsia"/>
          <w:color w:val="333333"/>
          <w:kern w:val="0"/>
          <w:szCs w:val="21"/>
        </w:rPr>
      </w:pPr>
      <w:r w:rsidRPr="004E18E2">
        <w:rPr>
          <w:rFonts w:ascii="仿宋_GB2312" w:eastAsia="仿宋_GB2312" w:hAnsi="宋体" w:cs="宋体" w:hint="eastAsia"/>
          <w:b/>
          <w:bCs/>
          <w:color w:val="333333"/>
          <w:kern w:val="0"/>
          <w:sz w:val="24"/>
          <w:szCs w:val="24"/>
        </w:rPr>
        <w:t>（一）加强组织领导。</w:t>
      </w:r>
      <w:r w:rsidRPr="004E18E2">
        <w:rPr>
          <w:rFonts w:ascii="仿宋_GB2312" w:eastAsia="仿宋_GB2312" w:hAnsi="宋体" w:cs="宋体" w:hint="eastAsia"/>
          <w:color w:val="333333"/>
          <w:kern w:val="0"/>
          <w:sz w:val="24"/>
          <w:szCs w:val="24"/>
        </w:rPr>
        <w:t>各镇（街道）国土城建和水务局、区建筑工程施工安全监督站的考核要相应成立工作领导小组，加强组织协调，确保各项工作任务的落实。</w:t>
      </w:r>
    </w:p>
    <w:p w:rsidR="004E18E2" w:rsidRPr="004E18E2" w:rsidRDefault="004E18E2" w:rsidP="004E18E2">
      <w:pPr>
        <w:widowControl/>
        <w:spacing w:line="600" w:lineRule="atLeast"/>
        <w:ind w:firstLine="643"/>
        <w:rPr>
          <w:rFonts w:ascii="宋体" w:eastAsia="宋体" w:hAnsi="宋体" w:cs="宋体" w:hint="eastAsia"/>
          <w:color w:val="333333"/>
          <w:kern w:val="0"/>
          <w:szCs w:val="21"/>
        </w:rPr>
      </w:pPr>
      <w:r w:rsidRPr="004E18E2">
        <w:rPr>
          <w:rFonts w:ascii="仿宋_GB2312" w:eastAsia="仿宋_GB2312" w:hAnsi="宋体" w:cs="宋体" w:hint="eastAsia"/>
          <w:b/>
          <w:bCs/>
          <w:color w:val="333333"/>
          <w:kern w:val="0"/>
          <w:sz w:val="24"/>
          <w:szCs w:val="24"/>
        </w:rPr>
        <w:t>（二）广泛宣传。</w:t>
      </w:r>
      <w:r w:rsidRPr="004E18E2">
        <w:rPr>
          <w:rFonts w:ascii="仿宋_GB2312" w:eastAsia="仿宋_GB2312" w:hAnsi="宋体" w:cs="宋体" w:hint="eastAsia"/>
          <w:color w:val="333333"/>
          <w:kern w:val="0"/>
          <w:sz w:val="24"/>
          <w:szCs w:val="24"/>
        </w:rPr>
        <w:t>各镇（街道）国土城建和水务局、区建筑工程施工安全监督站应及时将本专项整治行动方案向区内在建工地参建各方进行广泛宣传，积极督促企业开展安全生产隐患自查自纠及做好信息报送工作。</w:t>
      </w:r>
    </w:p>
    <w:p w:rsidR="004E18E2" w:rsidRPr="004E18E2" w:rsidRDefault="004E18E2" w:rsidP="004E18E2">
      <w:pPr>
        <w:widowControl/>
        <w:spacing w:line="600" w:lineRule="atLeast"/>
        <w:ind w:firstLine="643"/>
        <w:rPr>
          <w:rFonts w:ascii="宋体" w:eastAsia="宋体" w:hAnsi="宋体" w:cs="宋体" w:hint="eastAsia"/>
          <w:color w:val="333333"/>
          <w:kern w:val="0"/>
          <w:szCs w:val="21"/>
        </w:rPr>
      </w:pPr>
      <w:r w:rsidRPr="004E18E2">
        <w:rPr>
          <w:rFonts w:ascii="仿宋_GB2312" w:eastAsia="仿宋_GB2312" w:hAnsi="宋体" w:cs="宋体" w:hint="eastAsia"/>
          <w:b/>
          <w:bCs/>
          <w:color w:val="333333"/>
          <w:kern w:val="0"/>
          <w:sz w:val="24"/>
          <w:szCs w:val="24"/>
        </w:rPr>
        <w:t>（三）加强日常监督巡查。</w:t>
      </w:r>
      <w:r w:rsidRPr="004E18E2">
        <w:rPr>
          <w:rFonts w:ascii="仿宋_GB2312" w:eastAsia="仿宋_GB2312" w:hAnsi="宋体" w:cs="宋体" w:hint="eastAsia"/>
          <w:color w:val="333333"/>
          <w:kern w:val="0"/>
          <w:sz w:val="24"/>
          <w:szCs w:val="24"/>
        </w:rPr>
        <w:t>加强对区内存在危险性较大分部分项工程的在建房屋建筑和市政工程项目的日常巡查，以高频次、全覆盖、多渠道的方式落实建筑施工安全监管工作。</w:t>
      </w:r>
    </w:p>
    <w:p w:rsidR="004E18E2" w:rsidRPr="004E18E2" w:rsidRDefault="004E18E2" w:rsidP="004E18E2">
      <w:pPr>
        <w:widowControl/>
        <w:spacing w:line="600" w:lineRule="atLeast"/>
        <w:ind w:firstLine="643"/>
        <w:rPr>
          <w:rFonts w:ascii="宋体" w:eastAsia="宋体" w:hAnsi="宋体" w:cs="宋体" w:hint="eastAsia"/>
          <w:color w:val="333333"/>
          <w:kern w:val="0"/>
          <w:szCs w:val="21"/>
        </w:rPr>
      </w:pPr>
      <w:r w:rsidRPr="004E18E2">
        <w:rPr>
          <w:rFonts w:ascii="仿宋_GB2312" w:eastAsia="仿宋_GB2312" w:hAnsi="宋体" w:cs="宋体" w:hint="eastAsia"/>
          <w:b/>
          <w:bCs/>
          <w:color w:val="333333"/>
          <w:kern w:val="0"/>
          <w:sz w:val="24"/>
          <w:szCs w:val="24"/>
        </w:rPr>
        <w:t>（三）及时反馈问题，做好沟通及报送工作。</w:t>
      </w:r>
      <w:r w:rsidRPr="004E18E2">
        <w:rPr>
          <w:rFonts w:ascii="仿宋_GB2312" w:eastAsia="仿宋_GB2312" w:hAnsi="宋体" w:cs="宋体" w:hint="eastAsia"/>
          <w:color w:val="333333"/>
          <w:kern w:val="0"/>
          <w:sz w:val="24"/>
          <w:szCs w:val="24"/>
        </w:rPr>
        <w:t>各镇（街道）国土城建和水务局、区建筑工程施工安全监督站要认真做好危险性较大分部分项工程监督清单管理，并于每月3日前将清单（含检查情况）（详见附件3）报送至区国土城建和水务局质量安全监管科。</w:t>
      </w: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p>
    <w:p w:rsidR="004E18E2" w:rsidRPr="004E18E2" w:rsidRDefault="004E18E2" w:rsidP="004E18E2">
      <w:pPr>
        <w:widowControl/>
        <w:spacing w:line="60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附件：1.超过一定规模的危险性较大的分部分项工程范围</w:t>
      </w:r>
    </w:p>
    <w:p w:rsidR="004E18E2" w:rsidRPr="004E18E2" w:rsidRDefault="004E18E2" w:rsidP="004E18E2">
      <w:pPr>
        <w:widowControl/>
        <w:spacing w:line="600" w:lineRule="atLeast"/>
        <w:ind w:firstLineChars="515" w:firstLine="1236"/>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 xml:space="preserve"> 2.危险性较大分部分项工程监督清单</w:t>
      </w:r>
    </w:p>
    <w:p w:rsidR="004E18E2" w:rsidRPr="004E18E2" w:rsidRDefault="004E18E2" w:rsidP="004E18E2">
      <w:pPr>
        <w:widowControl/>
        <w:spacing w:line="600" w:lineRule="atLeast"/>
        <w:ind w:firstLineChars="515" w:firstLine="1236"/>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 xml:space="preserve"> 3.危险性较大分部分项工程实施情况自查表</w:t>
      </w:r>
    </w:p>
    <w:p w:rsidR="004E18E2" w:rsidRPr="004E18E2" w:rsidRDefault="004E18E2" w:rsidP="004E18E2">
      <w:pPr>
        <w:widowControl/>
        <w:spacing w:line="375" w:lineRule="atLeast"/>
        <w:ind w:firstLine="640"/>
        <w:jc w:val="left"/>
        <w:rPr>
          <w:rFonts w:ascii="宋体" w:eastAsia="宋体" w:hAnsi="宋体" w:cs="宋体" w:hint="eastAsia"/>
          <w:color w:val="333333"/>
          <w:kern w:val="0"/>
          <w:szCs w:val="21"/>
        </w:rPr>
      </w:pPr>
      <w:r>
        <w:rPr>
          <w:rFonts w:ascii="宋体" w:eastAsia="宋体" w:hAnsi="宋体" w:cs="宋体" w:hint="eastAsia"/>
          <w:color w:val="333333"/>
          <w:kern w:val="0"/>
          <w:szCs w:val="21"/>
        </w:rPr>
        <w:t xml:space="preserve"> </w:t>
      </w:r>
    </w:p>
    <w:p w:rsidR="004E18E2" w:rsidRPr="004E18E2" w:rsidRDefault="004E18E2" w:rsidP="004E18E2">
      <w:pPr>
        <w:widowControl/>
        <w:spacing w:line="375" w:lineRule="atLeast"/>
        <w:jc w:val="left"/>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t>附件1</w:t>
      </w:r>
    </w:p>
    <w:p w:rsidR="004E18E2" w:rsidRPr="004E18E2" w:rsidRDefault="004E18E2" w:rsidP="004E18E2">
      <w:pPr>
        <w:widowControl/>
        <w:spacing w:line="640" w:lineRule="atLeast"/>
        <w:jc w:val="center"/>
        <w:rPr>
          <w:rFonts w:ascii="宋体" w:eastAsia="宋体" w:hAnsi="宋体" w:cs="宋体" w:hint="eastAsia"/>
          <w:color w:val="333333"/>
          <w:kern w:val="0"/>
          <w:szCs w:val="21"/>
        </w:rPr>
      </w:pPr>
      <w:r w:rsidRPr="004E18E2">
        <w:rPr>
          <w:rFonts w:ascii="方正小标宋简体" w:eastAsia="方正小标宋简体" w:hAnsi="宋体" w:cs="宋体" w:hint="eastAsia"/>
          <w:color w:val="333333"/>
          <w:kern w:val="0"/>
          <w:sz w:val="24"/>
          <w:szCs w:val="24"/>
        </w:rPr>
        <w:t>超过一定规模的危险性较大的分部分项</w:t>
      </w:r>
    </w:p>
    <w:p w:rsidR="004E18E2" w:rsidRPr="004E18E2" w:rsidRDefault="004E18E2" w:rsidP="004E18E2">
      <w:pPr>
        <w:widowControl/>
        <w:spacing w:line="640" w:lineRule="atLeast"/>
        <w:jc w:val="center"/>
        <w:rPr>
          <w:rFonts w:ascii="宋体" w:eastAsia="宋体" w:hAnsi="宋体" w:cs="宋体" w:hint="eastAsia"/>
          <w:color w:val="333333"/>
          <w:kern w:val="0"/>
          <w:szCs w:val="21"/>
        </w:rPr>
      </w:pPr>
      <w:r w:rsidRPr="004E18E2">
        <w:rPr>
          <w:rFonts w:ascii="方正小标宋简体" w:eastAsia="方正小标宋简体" w:hAnsi="宋体" w:cs="宋体" w:hint="eastAsia"/>
          <w:color w:val="333333"/>
          <w:kern w:val="0"/>
          <w:sz w:val="24"/>
          <w:szCs w:val="24"/>
        </w:rPr>
        <w:t>工程范围</w:t>
      </w:r>
    </w:p>
    <w:p w:rsidR="004E18E2" w:rsidRPr="004E18E2" w:rsidRDefault="004E18E2" w:rsidP="004E18E2">
      <w:pPr>
        <w:widowControl/>
        <w:spacing w:line="240" w:lineRule="atLeast"/>
        <w:jc w:val="left"/>
        <w:rPr>
          <w:rFonts w:ascii="宋体" w:eastAsia="宋体" w:hAnsi="宋体" w:cs="宋体" w:hint="eastAsia"/>
          <w:color w:val="333333"/>
          <w:kern w:val="0"/>
          <w:szCs w:val="21"/>
        </w:rPr>
      </w:pP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t>一、深基坑工程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（一）开挖深度超过5m（含5m）的基坑（槽）的土方开挖、支护、降水工程。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（二）开挖深度虽未超过5m，但地质条件、周围环境和地下管线复杂，或影响毗邻建筑（构筑）物安全的基坑（槽）的土方开挖、支护、降水工程。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t>二、模板工程及支撑体系</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（一）工具式模板工程：包括滑模、爬模、飞模工程。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（二）混凝土模板支撑工程：搭设高度8m及以上；搭设跨度18m及以上；施工总荷载15kN/</w:t>
      </w:r>
      <w:r w:rsidRPr="004E18E2">
        <w:rPr>
          <w:rFonts w:ascii="宋体" w:eastAsia="宋体" w:hAnsi="宋体" w:cs="宋体" w:hint="eastAsia"/>
          <w:color w:val="333333"/>
          <w:kern w:val="0"/>
          <w:sz w:val="24"/>
          <w:szCs w:val="24"/>
        </w:rPr>
        <w:t>㎡</w:t>
      </w:r>
      <w:r w:rsidRPr="004E18E2">
        <w:rPr>
          <w:rFonts w:ascii="仿宋_GB2312" w:eastAsia="仿宋_GB2312" w:hAnsi="宋体" w:cs="宋体" w:hint="eastAsia"/>
          <w:color w:val="333333"/>
          <w:kern w:val="0"/>
          <w:sz w:val="24"/>
          <w:szCs w:val="24"/>
        </w:rPr>
        <w:t>及以上；集中线荷载20kN/m及以上。</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（三）承重支撑体系：用于钢结构安装等满堂支撑体系，承受单点集中荷载700Kg以上。</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t>三、起重吊装及安装拆卸工程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（一）采用非常规起重设备、方法，且单件起吊重量在100kN及以上的起重吊装工程。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（二）起重量300kN及以上的起重设备安装工程；高度200m及以上内爬起重设备的拆除工程。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lastRenderedPageBreak/>
        <w:t>四、脚手架工程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（一）搭设高度50m及以上落地式钢管脚手架工程。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（二）提升高度150m及以上附着式整体和分片提升脚手架工程。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（三）架体高度20m及以上悬挑式脚手架工程。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t>五、拆除、爆破工程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（一）采用爆破拆除的工程。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（二）码头、桥梁、高架、烟囱、水塔或拆除中容易引起有毒有害气（液）体或粉尘扩散、易燃易爆事故发生的特殊建、构筑物的拆除工程。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（三）可能影响行人、交通、电力设施、通讯设施或其它建、构筑物安全的拆除工程。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（四）文物保护建筑、优秀历史建筑或历史文化风貌区控制范围的拆除工程。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t>六、其它</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（一）施工高度50m及以上的建筑幕墙安装工程。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（二）跨度大于36m及以上的钢结构安装工程；跨度大于60m及以上的网架和索膜结构安装工程。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（三）开挖深度超过16m的人工挖孔桩工程。</w:t>
      </w:r>
    </w:p>
    <w:p w:rsidR="004E18E2" w:rsidRPr="004E18E2" w:rsidRDefault="004E18E2" w:rsidP="004E18E2">
      <w:pPr>
        <w:widowControl/>
        <w:spacing w:line="560" w:lineRule="atLeast"/>
        <w:ind w:firstLine="640"/>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（四）地下暗挖工程、顶管工程、水下作业工程。</w:t>
      </w:r>
    </w:p>
    <w:p w:rsidR="004E18E2" w:rsidRDefault="004E18E2" w:rsidP="004E18E2">
      <w:pPr>
        <w:widowControl/>
        <w:spacing w:line="560" w:lineRule="atLeast"/>
        <w:ind w:firstLine="640"/>
        <w:rPr>
          <w:rFonts w:ascii="仿宋_GB2312" w:eastAsia="仿宋_GB2312" w:hAnsi="宋体" w:cs="宋体" w:hint="eastAsia"/>
          <w:color w:val="333333"/>
          <w:kern w:val="0"/>
          <w:sz w:val="24"/>
          <w:szCs w:val="24"/>
        </w:rPr>
      </w:pPr>
      <w:r w:rsidRPr="004E18E2">
        <w:rPr>
          <w:rFonts w:ascii="仿宋_GB2312" w:eastAsia="仿宋_GB2312" w:hAnsi="宋体" w:cs="宋体" w:hint="eastAsia"/>
          <w:color w:val="333333"/>
          <w:kern w:val="0"/>
          <w:sz w:val="24"/>
          <w:szCs w:val="24"/>
        </w:rPr>
        <w:t>（五）采用新技术、新工艺、新材料、新设备及尚无相关技术标准的危险性较大的分部分项工程。</w:t>
      </w:r>
    </w:p>
    <w:p w:rsidR="004E18E2" w:rsidRDefault="004E18E2" w:rsidP="004E18E2">
      <w:pPr>
        <w:widowControl/>
        <w:spacing w:line="560" w:lineRule="atLeast"/>
        <w:ind w:firstLine="640"/>
        <w:rPr>
          <w:rFonts w:ascii="仿宋_GB2312" w:eastAsia="仿宋_GB2312" w:hAnsi="宋体" w:cs="宋体" w:hint="eastAsia"/>
          <w:color w:val="333333"/>
          <w:kern w:val="0"/>
          <w:sz w:val="24"/>
          <w:szCs w:val="24"/>
        </w:rPr>
      </w:pPr>
    </w:p>
    <w:p w:rsidR="004E18E2" w:rsidRDefault="004E18E2" w:rsidP="004E18E2">
      <w:pPr>
        <w:widowControl/>
        <w:spacing w:line="560" w:lineRule="atLeast"/>
        <w:ind w:firstLine="640"/>
        <w:rPr>
          <w:rFonts w:ascii="仿宋_GB2312" w:eastAsia="仿宋_GB2312" w:hAnsi="宋体" w:cs="宋体" w:hint="eastAsia"/>
          <w:color w:val="333333"/>
          <w:kern w:val="0"/>
          <w:sz w:val="24"/>
          <w:szCs w:val="24"/>
        </w:rPr>
      </w:pPr>
    </w:p>
    <w:p w:rsidR="004E18E2" w:rsidRDefault="004E18E2" w:rsidP="004E18E2">
      <w:pPr>
        <w:widowControl/>
        <w:spacing w:line="560" w:lineRule="atLeast"/>
        <w:ind w:firstLine="640"/>
        <w:rPr>
          <w:rFonts w:ascii="仿宋_GB2312" w:eastAsia="仿宋_GB2312" w:hAnsi="宋体" w:cs="宋体" w:hint="eastAsia"/>
          <w:color w:val="333333"/>
          <w:kern w:val="0"/>
          <w:sz w:val="24"/>
          <w:szCs w:val="24"/>
        </w:rPr>
      </w:pPr>
    </w:p>
    <w:p w:rsidR="004E18E2" w:rsidRDefault="004E18E2" w:rsidP="004E18E2">
      <w:pPr>
        <w:widowControl/>
        <w:spacing w:line="560" w:lineRule="atLeast"/>
        <w:ind w:firstLine="640"/>
        <w:rPr>
          <w:rFonts w:ascii="仿宋_GB2312" w:eastAsia="仿宋_GB2312" w:hAnsi="宋体" w:cs="宋体" w:hint="eastAsia"/>
          <w:color w:val="333333"/>
          <w:kern w:val="0"/>
          <w:sz w:val="24"/>
          <w:szCs w:val="24"/>
        </w:rPr>
      </w:pPr>
    </w:p>
    <w:p w:rsidR="004E18E2" w:rsidRDefault="004E18E2" w:rsidP="004E18E2">
      <w:pPr>
        <w:widowControl/>
        <w:spacing w:line="440" w:lineRule="atLeast"/>
        <w:rPr>
          <w:rFonts w:ascii="黑体" w:eastAsia="黑体" w:hAnsi="宋体" w:cs="宋体" w:hint="eastAsia"/>
          <w:color w:val="333333"/>
          <w:kern w:val="0"/>
          <w:sz w:val="24"/>
          <w:szCs w:val="24"/>
        </w:rPr>
      </w:pPr>
    </w:p>
    <w:p w:rsidR="004E18E2" w:rsidRPr="004E18E2" w:rsidRDefault="004E18E2" w:rsidP="004E18E2">
      <w:pPr>
        <w:widowControl/>
        <w:spacing w:line="440" w:lineRule="atLeast"/>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lastRenderedPageBreak/>
        <w:t>附件2</w:t>
      </w:r>
    </w:p>
    <w:p w:rsidR="004E18E2" w:rsidRPr="004E18E2" w:rsidRDefault="004E18E2" w:rsidP="004E18E2">
      <w:pPr>
        <w:widowControl/>
        <w:spacing w:line="480" w:lineRule="atLeast"/>
        <w:jc w:val="center"/>
        <w:rPr>
          <w:rFonts w:ascii="宋体" w:eastAsia="宋体" w:hAnsi="宋体" w:cs="宋体" w:hint="eastAsia"/>
          <w:color w:val="333333"/>
          <w:kern w:val="0"/>
          <w:szCs w:val="21"/>
        </w:rPr>
      </w:pPr>
      <w:r w:rsidRPr="004E18E2">
        <w:rPr>
          <w:rFonts w:ascii="方正小标宋简体" w:eastAsia="方正小标宋简体" w:hAnsi="宋体" w:cs="宋体" w:hint="eastAsia"/>
          <w:color w:val="333333"/>
          <w:kern w:val="0"/>
          <w:sz w:val="24"/>
          <w:szCs w:val="24"/>
        </w:rPr>
        <w:t>危险性较大分部分项工程实施情况自查表</w:t>
      </w:r>
    </w:p>
    <w:p w:rsidR="004E18E2" w:rsidRPr="004E18E2" w:rsidRDefault="004E18E2" w:rsidP="004E18E2">
      <w:pPr>
        <w:widowControl/>
        <w:spacing w:line="240" w:lineRule="atLeast"/>
        <w:ind w:firstLine="560"/>
        <w:jc w:val="left"/>
        <w:rPr>
          <w:rFonts w:ascii="宋体" w:eastAsia="宋体" w:hAnsi="宋体" w:cs="宋体" w:hint="eastAsia"/>
          <w:color w:val="333333"/>
          <w:kern w:val="0"/>
          <w:szCs w:val="21"/>
        </w:rPr>
      </w:pPr>
    </w:p>
    <w:p w:rsidR="004E18E2" w:rsidRPr="004E18E2" w:rsidRDefault="004E18E2" w:rsidP="004E18E2">
      <w:pPr>
        <w:widowControl/>
        <w:spacing w:line="400" w:lineRule="atLeast"/>
        <w:ind w:firstLine="560"/>
        <w:jc w:val="left"/>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项目名称：</w:t>
      </w:r>
      <w:r>
        <w:rPr>
          <w:rFonts w:ascii="仿宋_GB2312" w:eastAsia="仿宋_GB2312" w:hAnsi="宋体" w:cs="宋体" w:hint="eastAsia"/>
          <w:color w:val="333333"/>
          <w:kern w:val="0"/>
          <w:sz w:val="24"/>
          <w:szCs w:val="24"/>
        </w:rPr>
        <w:t xml:space="preserve">                    </w:t>
      </w:r>
      <w:r w:rsidRPr="004E18E2">
        <w:rPr>
          <w:rFonts w:ascii="仿宋_GB2312" w:eastAsia="仿宋_GB2312" w:hAnsi="宋体" w:cs="宋体" w:hint="eastAsia"/>
          <w:color w:val="333333"/>
          <w:kern w:val="0"/>
          <w:sz w:val="24"/>
          <w:szCs w:val="24"/>
        </w:rPr>
        <w:t>填报人：</w:t>
      </w:r>
      <w:r>
        <w:rPr>
          <w:rFonts w:ascii="仿宋_GB2312" w:eastAsia="仿宋_GB2312" w:hAnsi="宋体" w:cs="宋体" w:hint="eastAsia"/>
          <w:color w:val="333333"/>
          <w:kern w:val="0"/>
          <w:sz w:val="24"/>
          <w:szCs w:val="24"/>
        </w:rPr>
        <w:t xml:space="preserve">            </w:t>
      </w:r>
      <w:r w:rsidRPr="004E18E2">
        <w:rPr>
          <w:rFonts w:ascii="仿宋_GB2312" w:eastAsia="仿宋_GB2312" w:hAnsi="宋体" w:cs="宋体" w:hint="eastAsia"/>
          <w:color w:val="333333"/>
          <w:kern w:val="0"/>
          <w:sz w:val="24"/>
          <w:szCs w:val="24"/>
        </w:rPr>
        <w:t xml:space="preserve"> 联系电话：</w:t>
      </w:r>
    </w:p>
    <w:p w:rsidR="004E18E2" w:rsidRPr="004E18E2" w:rsidRDefault="004E18E2" w:rsidP="004E18E2">
      <w:pPr>
        <w:widowControl/>
        <w:spacing w:line="400" w:lineRule="atLeast"/>
        <w:ind w:firstLine="560"/>
        <w:jc w:val="left"/>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检查时间：2016年</w:t>
      </w:r>
      <w:r>
        <w:rPr>
          <w:rFonts w:ascii="仿宋_GB2312" w:eastAsia="仿宋_GB2312" w:hAnsi="宋体" w:cs="宋体" w:hint="eastAsia"/>
          <w:color w:val="333333"/>
          <w:kern w:val="0"/>
          <w:sz w:val="24"/>
          <w:szCs w:val="24"/>
        </w:rPr>
        <w:t xml:space="preserve">  </w:t>
      </w:r>
      <w:r w:rsidRPr="004E18E2">
        <w:rPr>
          <w:rFonts w:ascii="仿宋_GB2312" w:eastAsia="仿宋_GB2312" w:hAnsi="宋体" w:cs="宋体" w:hint="eastAsia"/>
          <w:color w:val="333333"/>
          <w:kern w:val="0"/>
          <w:sz w:val="24"/>
          <w:szCs w:val="24"/>
        </w:rPr>
        <w:t>月</w:t>
      </w:r>
      <w:r>
        <w:rPr>
          <w:rFonts w:ascii="仿宋_GB2312" w:eastAsia="仿宋_GB2312" w:hAnsi="宋体" w:cs="宋体" w:hint="eastAsia"/>
          <w:color w:val="333333"/>
          <w:kern w:val="0"/>
          <w:sz w:val="24"/>
          <w:szCs w:val="24"/>
        </w:rPr>
        <w:t xml:space="preserve">  </w:t>
      </w:r>
      <w:r w:rsidRPr="004E18E2">
        <w:rPr>
          <w:rFonts w:ascii="仿宋_GB2312" w:eastAsia="仿宋_GB2312" w:hAnsi="宋体" w:cs="宋体" w:hint="eastAsia"/>
          <w:color w:val="333333"/>
          <w:kern w:val="0"/>
          <w:sz w:val="24"/>
          <w:szCs w:val="24"/>
        </w:rPr>
        <w:t>日</w:t>
      </w:r>
    </w:p>
    <w:tbl>
      <w:tblPr>
        <w:tblW w:w="0" w:type="auto"/>
        <w:tblCellMar>
          <w:left w:w="0" w:type="dxa"/>
          <w:right w:w="0" w:type="dxa"/>
        </w:tblCellMar>
        <w:tblLook w:val="04A0"/>
      </w:tblPr>
      <w:tblGrid>
        <w:gridCol w:w="938"/>
        <w:gridCol w:w="733"/>
        <w:gridCol w:w="719"/>
        <w:gridCol w:w="631"/>
        <w:gridCol w:w="1271"/>
        <w:gridCol w:w="561"/>
        <w:gridCol w:w="1813"/>
        <w:gridCol w:w="1856"/>
      </w:tblGrid>
      <w:tr w:rsidR="004E18E2" w:rsidRPr="004E18E2" w:rsidTr="004E18E2">
        <w:tc>
          <w:tcPr>
            <w:tcW w:w="102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项目信息</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建设单位</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c>
          <w:tcPr>
            <w:tcW w:w="2041"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项目负责人</w:t>
            </w:r>
          </w:p>
        </w:tc>
        <w:tc>
          <w:tcPr>
            <w:tcW w:w="213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18E2" w:rsidRPr="004E18E2" w:rsidRDefault="004E18E2" w:rsidP="004E18E2">
            <w:pPr>
              <w:widowControl/>
              <w:jc w:val="left"/>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施工单位</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c>
          <w:tcPr>
            <w:tcW w:w="2041"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项目负责人</w:t>
            </w:r>
          </w:p>
        </w:tc>
        <w:tc>
          <w:tcPr>
            <w:tcW w:w="213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18E2" w:rsidRPr="004E18E2" w:rsidRDefault="004E18E2" w:rsidP="004E18E2">
            <w:pPr>
              <w:widowControl/>
              <w:jc w:val="left"/>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监理单位</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c>
          <w:tcPr>
            <w:tcW w:w="2041"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总监理工程师</w:t>
            </w:r>
          </w:p>
        </w:tc>
        <w:tc>
          <w:tcPr>
            <w:tcW w:w="213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rPr>
          <w:trHeight w:val="1142"/>
        </w:trPr>
        <w:tc>
          <w:tcPr>
            <w:tcW w:w="102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危险性较大分部分项工程信息</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类型：□基坑支护</w:t>
            </w:r>
            <w:r>
              <w:rPr>
                <w:rFonts w:ascii="仿宋_GB2312" w:eastAsia="仿宋_GB2312" w:hAnsi="宋体" w:cs="宋体" w:hint="eastAsia"/>
                <w:color w:val="343434"/>
                <w:kern w:val="0"/>
                <w:sz w:val="24"/>
                <w:szCs w:val="24"/>
              </w:rPr>
              <w:t xml:space="preserve"> </w:t>
            </w:r>
            <w:r w:rsidRPr="004E18E2">
              <w:rPr>
                <w:rFonts w:ascii="仿宋_GB2312" w:eastAsia="仿宋_GB2312" w:hAnsi="宋体" w:cs="宋体" w:hint="eastAsia"/>
                <w:color w:val="343434"/>
                <w:kern w:val="0"/>
                <w:sz w:val="24"/>
                <w:szCs w:val="24"/>
              </w:rPr>
              <w:t xml:space="preserve"> □土方开挖</w:t>
            </w:r>
            <w:r>
              <w:rPr>
                <w:rFonts w:ascii="仿宋_GB2312" w:eastAsia="仿宋_GB2312" w:hAnsi="宋体" w:cs="宋体" w:hint="eastAsia"/>
                <w:color w:val="343434"/>
                <w:kern w:val="0"/>
                <w:sz w:val="24"/>
                <w:szCs w:val="24"/>
              </w:rPr>
              <w:t xml:space="preserve"> </w:t>
            </w:r>
            <w:r w:rsidRPr="004E18E2">
              <w:rPr>
                <w:rFonts w:ascii="仿宋_GB2312" w:eastAsia="仿宋_GB2312" w:hAnsi="宋体" w:cs="宋体" w:hint="eastAsia"/>
                <w:color w:val="343434"/>
                <w:kern w:val="0"/>
                <w:sz w:val="24"/>
                <w:szCs w:val="24"/>
              </w:rPr>
              <w:t xml:space="preserve"> □大型脚手架 □高大模板</w:t>
            </w:r>
          </w:p>
          <w:p w:rsidR="004E18E2" w:rsidRPr="004E18E2" w:rsidRDefault="004E18E2" w:rsidP="004E18E2">
            <w:pPr>
              <w:widowControl/>
              <w:spacing w:line="330" w:lineRule="atLeast"/>
              <w:ind w:firstLineChars="300" w:firstLine="720"/>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□起重机械</w:t>
            </w:r>
            <w:r>
              <w:rPr>
                <w:rFonts w:ascii="仿宋_GB2312" w:eastAsia="仿宋_GB2312" w:hAnsi="宋体" w:cs="宋体" w:hint="eastAsia"/>
                <w:color w:val="343434"/>
                <w:kern w:val="0"/>
                <w:sz w:val="24"/>
                <w:szCs w:val="24"/>
              </w:rPr>
              <w:t xml:space="preserve"> </w:t>
            </w:r>
            <w:r w:rsidRPr="004E18E2">
              <w:rPr>
                <w:rFonts w:ascii="仿宋_GB2312" w:eastAsia="仿宋_GB2312" w:hAnsi="宋体" w:cs="宋体" w:hint="eastAsia"/>
                <w:color w:val="343434"/>
                <w:kern w:val="0"/>
                <w:sz w:val="24"/>
                <w:szCs w:val="24"/>
              </w:rPr>
              <w:t xml:space="preserve"> □其他，</w:t>
            </w:r>
            <w:r w:rsidRPr="004E18E2">
              <w:rPr>
                <w:rFonts w:ascii="仿宋_GB2312" w:eastAsia="仿宋_GB2312" w:hAnsi="宋体" w:cs="宋体" w:hint="eastAsia"/>
                <w:color w:val="343434"/>
                <w:kern w:val="0"/>
                <w:sz w:val="24"/>
                <w:szCs w:val="24"/>
                <w:u w:val="single"/>
              </w:rPr>
              <w:t xml:space="preserve"> </w:t>
            </w:r>
            <w:r>
              <w:rPr>
                <w:rFonts w:ascii="仿宋_GB2312" w:eastAsia="仿宋_GB2312" w:hAnsi="宋体" w:cs="宋体" w:hint="eastAsia"/>
                <w:color w:val="343434"/>
                <w:kern w:val="0"/>
                <w:sz w:val="24"/>
                <w:szCs w:val="24"/>
                <w:u w:val="single"/>
              </w:rPr>
              <w:t xml:space="preserve">                   </w:t>
            </w:r>
          </w:p>
        </w:tc>
      </w:tr>
      <w:tr w:rsidR="004E18E2" w:rsidRPr="004E18E2" w:rsidTr="004E18E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18E2" w:rsidRPr="004E18E2" w:rsidRDefault="004E18E2" w:rsidP="004E18E2">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编制施工方案编制情况</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18E2" w:rsidRPr="004E18E2" w:rsidRDefault="004E18E2" w:rsidP="004E18E2">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是否按规定审批或论证</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18E2" w:rsidRPr="004E18E2" w:rsidRDefault="004E18E2" w:rsidP="004E18E2">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是否进行安全技术交底</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18E2" w:rsidRPr="004E18E2" w:rsidRDefault="004E18E2" w:rsidP="004E18E2">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是否严格按照施工方案施工</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18E2" w:rsidRPr="004E18E2" w:rsidRDefault="004E18E2" w:rsidP="004E18E2">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是否经验收合格</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c>
          <w:tcPr>
            <w:tcW w:w="102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检查整治情况</w:t>
            </w:r>
          </w:p>
        </w:tc>
        <w:tc>
          <w:tcPr>
            <w:tcW w:w="78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E18E2" w:rsidRPr="004E18E2" w:rsidRDefault="004E18E2" w:rsidP="004E18E2">
            <w:pPr>
              <w:widowControl/>
              <w:spacing w:line="330" w:lineRule="atLeas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自查情况</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检查时间</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rPr>
          <w:trHeight w:val="4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18E2" w:rsidRPr="004E18E2" w:rsidRDefault="004E18E2" w:rsidP="004E18E2">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18E2" w:rsidRPr="004E18E2" w:rsidRDefault="004E18E2" w:rsidP="004E18E2">
            <w:pPr>
              <w:widowControl/>
              <w:jc w:val="left"/>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检查人员</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rPr>
          <w:trHeight w:val="58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18E2" w:rsidRPr="004E18E2" w:rsidRDefault="004E18E2" w:rsidP="004E18E2">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发现安全隐患（处）</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18E2" w:rsidRPr="004E18E2" w:rsidRDefault="004E18E2" w:rsidP="004E18E2">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完成整改情况（处）</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E18E2" w:rsidRPr="004E18E2" w:rsidRDefault="004E18E2" w:rsidP="004E18E2">
            <w:pPr>
              <w:widowControl/>
              <w:jc w:val="left"/>
              <w:rPr>
                <w:rFonts w:ascii="宋体" w:eastAsia="宋体" w:hAnsi="宋体" w:cs="宋体"/>
                <w:color w:val="343434"/>
                <w:kern w:val="0"/>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r w:rsidRPr="004E18E2">
              <w:rPr>
                <w:rFonts w:ascii="仿宋_GB2312" w:eastAsia="仿宋_GB2312" w:hAnsi="宋体" w:cs="宋体" w:hint="eastAsia"/>
                <w:color w:val="343434"/>
                <w:kern w:val="0"/>
                <w:sz w:val="24"/>
                <w:szCs w:val="24"/>
              </w:rPr>
              <w:t>未完成整改情况（处）</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E18E2" w:rsidRPr="004E18E2" w:rsidRDefault="004E18E2" w:rsidP="004E18E2">
            <w:pPr>
              <w:widowControl/>
              <w:spacing w:line="330" w:lineRule="atLeast"/>
              <w:jc w:val="left"/>
              <w:rPr>
                <w:rFonts w:ascii="宋体" w:eastAsia="宋体" w:hAnsi="宋体" w:cs="宋体"/>
                <w:color w:val="343434"/>
                <w:kern w:val="0"/>
                <w:sz w:val="20"/>
                <w:szCs w:val="20"/>
              </w:rPr>
            </w:pPr>
          </w:p>
        </w:tc>
      </w:tr>
      <w:tr w:rsidR="004E18E2" w:rsidRPr="004E18E2" w:rsidTr="004E18E2">
        <w:tc>
          <w:tcPr>
            <w:tcW w:w="1020" w:type="dxa"/>
            <w:tcBorders>
              <w:top w:val="nil"/>
              <w:left w:val="nil"/>
              <w:bottom w:val="nil"/>
              <w:right w:val="nil"/>
            </w:tcBorders>
            <w:shd w:val="clear" w:color="auto" w:fill="F9FCFF"/>
            <w:tcMar>
              <w:top w:w="30" w:type="dxa"/>
              <w:left w:w="30" w:type="dxa"/>
              <w:bottom w:w="30" w:type="dxa"/>
              <w:right w:w="15" w:type="dxa"/>
            </w:tcMar>
            <w:vAlign w:val="center"/>
            <w:hideMark/>
          </w:tcPr>
          <w:p w:rsidR="004E18E2" w:rsidRPr="004E18E2" w:rsidRDefault="004E18E2" w:rsidP="004E18E2">
            <w:pPr>
              <w:widowControl/>
              <w:spacing w:line="330" w:lineRule="atLeast"/>
              <w:jc w:val="left"/>
              <w:rPr>
                <w:rFonts w:ascii="宋体" w:eastAsia="宋体" w:hAnsi="宋体" w:cs="宋体"/>
                <w:color w:val="343434"/>
                <w:kern w:val="0"/>
                <w:sz w:val="1"/>
                <w:szCs w:val="20"/>
              </w:rPr>
            </w:pPr>
          </w:p>
        </w:tc>
        <w:tc>
          <w:tcPr>
            <w:tcW w:w="780" w:type="dxa"/>
            <w:tcBorders>
              <w:top w:val="nil"/>
              <w:left w:val="nil"/>
              <w:bottom w:val="nil"/>
              <w:right w:val="nil"/>
            </w:tcBorders>
            <w:shd w:val="clear" w:color="auto" w:fill="F9FCFF"/>
            <w:tcMar>
              <w:top w:w="30" w:type="dxa"/>
              <w:left w:w="30" w:type="dxa"/>
              <w:bottom w:w="30" w:type="dxa"/>
              <w:right w:w="15" w:type="dxa"/>
            </w:tcMar>
            <w:vAlign w:val="center"/>
            <w:hideMark/>
          </w:tcPr>
          <w:p w:rsidR="004E18E2" w:rsidRPr="004E18E2" w:rsidRDefault="004E18E2" w:rsidP="004E18E2">
            <w:pPr>
              <w:widowControl/>
              <w:spacing w:line="330" w:lineRule="atLeast"/>
              <w:jc w:val="left"/>
              <w:rPr>
                <w:rFonts w:ascii="宋体" w:eastAsia="宋体" w:hAnsi="宋体" w:cs="宋体"/>
                <w:color w:val="343434"/>
                <w:kern w:val="0"/>
                <w:sz w:val="1"/>
                <w:szCs w:val="20"/>
              </w:rPr>
            </w:pPr>
          </w:p>
        </w:tc>
        <w:tc>
          <w:tcPr>
            <w:tcW w:w="795" w:type="dxa"/>
            <w:tcBorders>
              <w:top w:val="nil"/>
              <w:left w:val="nil"/>
              <w:bottom w:val="nil"/>
              <w:right w:val="nil"/>
            </w:tcBorders>
            <w:shd w:val="clear" w:color="auto" w:fill="F9FCFF"/>
            <w:tcMar>
              <w:top w:w="30" w:type="dxa"/>
              <w:left w:w="30" w:type="dxa"/>
              <w:bottom w:w="30" w:type="dxa"/>
              <w:right w:w="15" w:type="dxa"/>
            </w:tcMar>
            <w:vAlign w:val="center"/>
            <w:hideMark/>
          </w:tcPr>
          <w:p w:rsidR="004E18E2" w:rsidRPr="004E18E2" w:rsidRDefault="004E18E2" w:rsidP="004E18E2">
            <w:pPr>
              <w:widowControl/>
              <w:spacing w:line="330" w:lineRule="atLeast"/>
              <w:jc w:val="left"/>
              <w:rPr>
                <w:rFonts w:ascii="宋体" w:eastAsia="宋体" w:hAnsi="宋体" w:cs="宋体"/>
                <w:color w:val="343434"/>
                <w:kern w:val="0"/>
                <w:sz w:val="1"/>
                <w:szCs w:val="20"/>
              </w:rPr>
            </w:pPr>
          </w:p>
        </w:tc>
        <w:tc>
          <w:tcPr>
            <w:tcW w:w="705" w:type="dxa"/>
            <w:tcBorders>
              <w:top w:val="nil"/>
              <w:left w:val="nil"/>
              <w:bottom w:val="nil"/>
              <w:right w:val="nil"/>
            </w:tcBorders>
            <w:shd w:val="clear" w:color="auto" w:fill="F9FCFF"/>
            <w:tcMar>
              <w:top w:w="30" w:type="dxa"/>
              <w:left w:w="30" w:type="dxa"/>
              <w:bottom w:w="30" w:type="dxa"/>
              <w:right w:w="15" w:type="dxa"/>
            </w:tcMar>
            <w:vAlign w:val="center"/>
            <w:hideMark/>
          </w:tcPr>
          <w:p w:rsidR="004E18E2" w:rsidRPr="004E18E2" w:rsidRDefault="004E18E2" w:rsidP="004E18E2">
            <w:pPr>
              <w:widowControl/>
              <w:spacing w:line="330" w:lineRule="atLeast"/>
              <w:jc w:val="left"/>
              <w:rPr>
                <w:rFonts w:ascii="宋体" w:eastAsia="宋体" w:hAnsi="宋体" w:cs="宋体"/>
                <w:color w:val="343434"/>
                <w:kern w:val="0"/>
                <w:sz w:val="1"/>
                <w:szCs w:val="20"/>
              </w:rPr>
            </w:pPr>
          </w:p>
        </w:tc>
        <w:tc>
          <w:tcPr>
            <w:tcW w:w="1470" w:type="dxa"/>
            <w:tcBorders>
              <w:top w:val="nil"/>
              <w:left w:val="nil"/>
              <w:bottom w:val="nil"/>
              <w:right w:val="nil"/>
            </w:tcBorders>
            <w:shd w:val="clear" w:color="auto" w:fill="F9FCFF"/>
            <w:tcMar>
              <w:top w:w="30" w:type="dxa"/>
              <w:left w:w="30" w:type="dxa"/>
              <w:bottom w:w="30" w:type="dxa"/>
              <w:right w:w="15" w:type="dxa"/>
            </w:tcMar>
            <w:vAlign w:val="center"/>
            <w:hideMark/>
          </w:tcPr>
          <w:p w:rsidR="004E18E2" w:rsidRPr="004E18E2" w:rsidRDefault="004E18E2" w:rsidP="004E18E2">
            <w:pPr>
              <w:widowControl/>
              <w:spacing w:line="330" w:lineRule="atLeast"/>
              <w:jc w:val="left"/>
              <w:rPr>
                <w:rFonts w:ascii="宋体" w:eastAsia="宋体" w:hAnsi="宋体" w:cs="宋体"/>
                <w:color w:val="343434"/>
                <w:kern w:val="0"/>
                <w:sz w:val="1"/>
                <w:szCs w:val="20"/>
              </w:rPr>
            </w:pPr>
          </w:p>
        </w:tc>
        <w:tc>
          <w:tcPr>
            <w:tcW w:w="644" w:type="dxa"/>
            <w:tcBorders>
              <w:top w:val="nil"/>
              <w:left w:val="nil"/>
              <w:bottom w:val="nil"/>
              <w:right w:val="nil"/>
            </w:tcBorders>
            <w:shd w:val="clear" w:color="auto" w:fill="F9FCFF"/>
            <w:tcMar>
              <w:top w:w="30" w:type="dxa"/>
              <w:left w:w="30" w:type="dxa"/>
              <w:bottom w:w="30" w:type="dxa"/>
              <w:right w:w="15" w:type="dxa"/>
            </w:tcMar>
            <w:vAlign w:val="center"/>
            <w:hideMark/>
          </w:tcPr>
          <w:p w:rsidR="004E18E2" w:rsidRPr="004E18E2" w:rsidRDefault="004E18E2" w:rsidP="004E18E2">
            <w:pPr>
              <w:widowControl/>
              <w:spacing w:line="330" w:lineRule="atLeast"/>
              <w:jc w:val="left"/>
              <w:rPr>
                <w:rFonts w:ascii="宋体" w:eastAsia="宋体" w:hAnsi="宋体" w:cs="宋体"/>
                <w:color w:val="343434"/>
                <w:kern w:val="0"/>
                <w:sz w:val="1"/>
                <w:szCs w:val="20"/>
              </w:rPr>
            </w:pPr>
          </w:p>
        </w:tc>
        <w:tc>
          <w:tcPr>
            <w:tcW w:w="2041" w:type="dxa"/>
            <w:tcBorders>
              <w:top w:val="nil"/>
              <w:left w:val="nil"/>
              <w:bottom w:val="nil"/>
              <w:right w:val="nil"/>
            </w:tcBorders>
            <w:shd w:val="clear" w:color="auto" w:fill="F9FCFF"/>
            <w:tcMar>
              <w:top w:w="30" w:type="dxa"/>
              <w:left w:w="30" w:type="dxa"/>
              <w:bottom w:w="30" w:type="dxa"/>
              <w:right w:w="15" w:type="dxa"/>
            </w:tcMar>
            <w:vAlign w:val="center"/>
            <w:hideMark/>
          </w:tcPr>
          <w:p w:rsidR="004E18E2" w:rsidRPr="004E18E2" w:rsidRDefault="004E18E2" w:rsidP="004E18E2">
            <w:pPr>
              <w:widowControl/>
              <w:spacing w:line="330" w:lineRule="atLeast"/>
              <w:jc w:val="left"/>
              <w:rPr>
                <w:rFonts w:ascii="宋体" w:eastAsia="宋体" w:hAnsi="宋体" w:cs="宋体"/>
                <w:color w:val="343434"/>
                <w:kern w:val="0"/>
                <w:sz w:val="1"/>
                <w:szCs w:val="20"/>
              </w:rPr>
            </w:pPr>
          </w:p>
        </w:tc>
        <w:tc>
          <w:tcPr>
            <w:tcW w:w="2130" w:type="dxa"/>
            <w:tcBorders>
              <w:top w:val="nil"/>
              <w:left w:val="nil"/>
              <w:bottom w:val="nil"/>
              <w:right w:val="nil"/>
            </w:tcBorders>
            <w:shd w:val="clear" w:color="auto" w:fill="F9FCFF"/>
            <w:tcMar>
              <w:top w:w="30" w:type="dxa"/>
              <w:left w:w="30" w:type="dxa"/>
              <w:bottom w:w="30" w:type="dxa"/>
              <w:right w:w="15" w:type="dxa"/>
            </w:tcMar>
            <w:vAlign w:val="center"/>
            <w:hideMark/>
          </w:tcPr>
          <w:p w:rsidR="004E18E2" w:rsidRPr="004E18E2" w:rsidRDefault="004E18E2" w:rsidP="004E18E2">
            <w:pPr>
              <w:widowControl/>
              <w:spacing w:line="330" w:lineRule="atLeast"/>
              <w:jc w:val="left"/>
              <w:rPr>
                <w:rFonts w:ascii="宋体" w:eastAsia="宋体" w:hAnsi="宋体" w:cs="宋体"/>
                <w:color w:val="343434"/>
                <w:kern w:val="0"/>
                <w:sz w:val="1"/>
                <w:szCs w:val="20"/>
              </w:rPr>
            </w:pPr>
          </w:p>
        </w:tc>
      </w:tr>
    </w:tbl>
    <w:p w:rsidR="004E18E2" w:rsidRPr="004E18E2" w:rsidRDefault="004E18E2" w:rsidP="004E18E2">
      <w:pPr>
        <w:widowControl/>
        <w:spacing w:line="360" w:lineRule="atLeast"/>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备注：1.建设、施工、监理单位的检查工作至少每月一次。</w:t>
      </w:r>
    </w:p>
    <w:p w:rsidR="004E18E2" w:rsidRDefault="004E18E2" w:rsidP="004E18E2">
      <w:pPr>
        <w:widowControl/>
        <w:spacing w:line="360" w:lineRule="atLeast"/>
        <w:ind w:firstLineChars="250" w:firstLine="600"/>
        <w:rPr>
          <w:rFonts w:ascii="仿宋_GB2312" w:eastAsia="仿宋_GB2312" w:hAnsi="宋体" w:cs="宋体" w:hint="eastAsia"/>
          <w:color w:val="333333"/>
          <w:kern w:val="0"/>
          <w:sz w:val="24"/>
          <w:szCs w:val="24"/>
        </w:rPr>
      </w:pPr>
      <w:r w:rsidRPr="004E18E2">
        <w:rPr>
          <w:rFonts w:ascii="仿宋_GB2312" w:eastAsia="仿宋_GB2312" w:hAnsi="宋体" w:cs="宋体" w:hint="eastAsia"/>
          <w:color w:val="333333"/>
          <w:kern w:val="0"/>
          <w:sz w:val="24"/>
          <w:szCs w:val="24"/>
        </w:rPr>
        <w:t xml:space="preserve"> 2.存在多个危险性较大分部分项工程的项目，每个危险源填写一份自查表，并分别建档。</w:t>
      </w:r>
    </w:p>
    <w:p w:rsidR="004E18E2" w:rsidRPr="004E18E2" w:rsidRDefault="004E18E2" w:rsidP="004E18E2">
      <w:pPr>
        <w:widowControl/>
        <w:spacing w:line="360" w:lineRule="atLeast"/>
        <w:ind w:firstLineChars="250" w:firstLine="525"/>
        <w:rPr>
          <w:rFonts w:ascii="宋体" w:eastAsia="宋体" w:hAnsi="宋体" w:cs="宋体" w:hint="eastAsia"/>
          <w:color w:val="333333"/>
          <w:kern w:val="0"/>
          <w:szCs w:val="21"/>
        </w:rPr>
      </w:pPr>
    </w:p>
    <w:p w:rsidR="004E18E2" w:rsidRDefault="004E18E2" w:rsidP="004E18E2">
      <w:pPr>
        <w:widowControl/>
        <w:spacing w:line="375" w:lineRule="atLeast"/>
        <w:jc w:val="left"/>
        <w:rPr>
          <w:rFonts w:ascii="宋体" w:eastAsia="宋体" w:hAnsi="宋体" w:cs="宋体" w:hint="eastAsia"/>
          <w:color w:val="333333"/>
          <w:kern w:val="0"/>
          <w:szCs w:val="21"/>
        </w:rPr>
      </w:pPr>
    </w:p>
    <w:p w:rsidR="004E18E2" w:rsidRDefault="004E18E2" w:rsidP="004E18E2">
      <w:pPr>
        <w:widowControl/>
        <w:spacing w:line="375" w:lineRule="atLeast"/>
        <w:jc w:val="left"/>
        <w:rPr>
          <w:rFonts w:ascii="宋体" w:eastAsia="宋体" w:hAnsi="宋体" w:cs="宋体" w:hint="eastAsia"/>
          <w:color w:val="333333"/>
          <w:kern w:val="0"/>
          <w:szCs w:val="21"/>
        </w:rPr>
      </w:pPr>
    </w:p>
    <w:p w:rsidR="004E18E2" w:rsidRDefault="004E18E2" w:rsidP="004E18E2">
      <w:pPr>
        <w:widowControl/>
        <w:spacing w:line="375" w:lineRule="atLeast"/>
        <w:jc w:val="left"/>
        <w:rPr>
          <w:rFonts w:ascii="宋体" w:eastAsia="宋体" w:hAnsi="宋体" w:cs="宋体" w:hint="eastAsia"/>
          <w:color w:val="333333"/>
          <w:kern w:val="0"/>
          <w:szCs w:val="21"/>
        </w:rPr>
      </w:pPr>
    </w:p>
    <w:p w:rsidR="004E18E2" w:rsidRDefault="004E18E2" w:rsidP="004E18E2">
      <w:pPr>
        <w:widowControl/>
        <w:spacing w:line="375" w:lineRule="atLeast"/>
        <w:jc w:val="left"/>
        <w:rPr>
          <w:rFonts w:ascii="宋体" w:eastAsia="宋体" w:hAnsi="宋体" w:cs="宋体" w:hint="eastAsia"/>
          <w:color w:val="333333"/>
          <w:kern w:val="0"/>
          <w:szCs w:val="21"/>
        </w:rPr>
      </w:pPr>
    </w:p>
    <w:p w:rsidR="004E18E2" w:rsidRDefault="004E18E2" w:rsidP="004E18E2">
      <w:pPr>
        <w:widowControl/>
        <w:spacing w:line="375" w:lineRule="atLeast"/>
        <w:jc w:val="left"/>
        <w:rPr>
          <w:rFonts w:ascii="宋体" w:eastAsia="宋体" w:hAnsi="宋体" w:cs="宋体" w:hint="eastAsia"/>
          <w:color w:val="333333"/>
          <w:kern w:val="0"/>
          <w:szCs w:val="21"/>
        </w:rPr>
      </w:pPr>
    </w:p>
    <w:p w:rsidR="004E18E2" w:rsidRDefault="004E18E2" w:rsidP="004E18E2">
      <w:pPr>
        <w:widowControl/>
        <w:spacing w:line="375" w:lineRule="atLeast"/>
        <w:jc w:val="left"/>
        <w:rPr>
          <w:rFonts w:ascii="宋体" w:eastAsia="宋体" w:hAnsi="宋体" w:cs="宋体" w:hint="eastAsia"/>
          <w:color w:val="333333"/>
          <w:kern w:val="0"/>
          <w:szCs w:val="21"/>
        </w:rPr>
      </w:pPr>
    </w:p>
    <w:p w:rsidR="004E18E2" w:rsidRDefault="004E18E2" w:rsidP="004E18E2">
      <w:pPr>
        <w:widowControl/>
        <w:spacing w:line="375" w:lineRule="atLeast"/>
        <w:jc w:val="left"/>
        <w:rPr>
          <w:rFonts w:ascii="宋体" w:eastAsia="宋体" w:hAnsi="宋体" w:cs="宋体" w:hint="eastAsia"/>
          <w:color w:val="333333"/>
          <w:kern w:val="0"/>
          <w:szCs w:val="21"/>
        </w:rPr>
      </w:pPr>
    </w:p>
    <w:p w:rsidR="004E18E2" w:rsidRDefault="004E18E2" w:rsidP="004E18E2">
      <w:pPr>
        <w:widowControl/>
        <w:spacing w:line="375" w:lineRule="atLeast"/>
        <w:jc w:val="left"/>
        <w:rPr>
          <w:rFonts w:ascii="宋体" w:eastAsia="宋体" w:hAnsi="宋体" w:cs="宋体" w:hint="eastAsia"/>
          <w:color w:val="333333"/>
          <w:kern w:val="0"/>
          <w:szCs w:val="21"/>
        </w:rPr>
      </w:pPr>
    </w:p>
    <w:p w:rsidR="004E18E2" w:rsidRPr="004E18E2" w:rsidRDefault="004E18E2" w:rsidP="004E18E2">
      <w:pPr>
        <w:widowControl/>
        <w:spacing w:line="375" w:lineRule="atLeast"/>
        <w:rPr>
          <w:rFonts w:ascii="宋体" w:eastAsia="宋体" w:hAnsi="宋体" w:cs="宋体" w:hint="eastAsia"/>
          <w:color w:val="333333"/>
          <w:kern w:val="0"/>
          <w:szCs w:val="21"/>
        </w:rPr>
      </w:pPr>
      <w:r w:rsidRPr="004E18E2">
        <w:rPr>
          <w:rFonts w:ascii="黑体" w:eastAsia="黑体" w:hAnsi="宋体" w:cs="宋体" w:hint="eastAsia"/>
          <w:color w:val="333333"/>
          <w:kern w:val="0"/>
          <w:sz w:val="24"/>
          <w:szCs w:val="24"/>
        </w:rPr>
        <w:lastRenderedPageBreak/>
        <w:t>附件3</w:t>
      </w:r>
    </w:p>
    <w:p w:rsidR="004E18E2" w:rsidRPr="004E18E2" w:rsidRDefault="004E18E2" w:rsidP="004E18E2">
      <w:pPr>
        <w:widowControl/>
        <w:spacing w:line="375" w:lineRule="atLeast"/>
        <w:jc w:val="center"/>
        <w:rPr>
          <w:rFonts w:ascii="宋体" w:eastAsia="宋体" w:hAnsi="宋体" w:cs="宋体" w:hint="eastAsia"/>
          <w:color w:val="333333"/>
          <w:kern w:val="0"/>
          <w:szCs w:val="21"/>
        </w:rPr>
      </w:pPr>
      <w:r w:rsidRPr="004E18E2">
        <w:rPr>
          <w:rFonts w:ascii="方正小标宋简体" w:eastAsia="方正小标宋简体" w:hAnsi="宋体" w:cs="宋体" w:hint="eastAsia"/>
          <w:color w:val="333333"/>
          <w:kern w:val="0"/>
          <w:sz w:val="24"/>
          <w:szCs w:val="24"/>
        </w:rPr>
        <w:t>佛山市南海区危险性较大分部分项工程监督管理清单</w:t>
      </w:r>
    </w:p>
    <w:p w:rsidR="004E18E2" w:rsidRPr="004E18E2" w:rsidRDefault="004E18E2" w:rsidP="004E18E2">
      <w:pPr>
        <w:widowControl/>
        <w:spacing w:line="640" w:lineRule="atLeast"/>
        <w:rPr>
          <w:rFonts w:ascii="宋体" w:eastAsia="宋体" w:hAnsi="宋体" w:cs="宋体" w:hint="eastAsia"/>
          <w:color w:val="333333"/>
          <w:kern w:val="0"/>
          <w:szCs w:val="21"/>
        </w:rPr>
      </w:pPr>
      <w:r w:rsidRPr="004E18E2">
        <w:rPr>
          <w:rFonts w:ascii="仿宋_GB2312" w:eastAsia="仿宋_GB2312" w:hAnsi="宋体" w:cs="宋体" w:hint="eastAsia"/>
          <w:color w:val="000000"/>
          <w:kern w:val="0"/>
          <w:sz w:val="24"/>
          <w:szCs w:val="24"/>
        </w:rPr>
        <w:t>填报单位：</w:t>
      </w:r>
      <w:r>
        <w:rPr>
          <w:rFonts w:ascii="仿宋_GB2312" w:eastAsia="仿宋_GB2312" w:hAnsi="宋体" w:cs="宋体" w:hint="eastAsia"/>
          <w:color w:val="000000"/>
          <w:kern w:val="0"/>
          <w:sz w:val="24"/>
          <w:szCs w:val="24"/>
        </w:rPr>
        <w:t xml:space="preserve">                    </w:t>
      </w:r>
      <w:r w:rsidRPr="004E18E2">
        <w:rPr>
          <w:rFonts w:ascii="仿宋_GB2312" w:eastAsia="仿宋_GB2312" w:hAnsi="宋体" w:cs="宋体" w:hint="eastAsia"/>
          <w:color w:val="000000"/>
          <w:kern w:val="0"/>
          <w:sz w:val="24"/>
          <w:szCs w:val="24"/>
        </w:rPr>
        <w:t>填报时间：</w:t>
      </w:r>
      <w:r>
        <w:rPr>
          <w:rFonts w:ascii="仿宋_GB2312" w:eastAsia="仿宋_GB2312" w:hAnsi="宋体" w:cs="宋体" w:hint="eastAsia"/>
          <w:color w:val="000000"/>
          <w:kern w:val="0"/>
          <w:sz w:val="24"/>
          <w:szCs w:val="24"/>
        </w:rPr>
        <w:t xml:space="preserve">       </w:t>
      </w:r>
      <w:r w:rsidRPr="004E18E2">
        <w:rPr>
          <w:rFonts w:ascii="仿宋_GB2312" w:eastAsia="仿宋_GB2312" w:hAnsi="宋体" w:cs="宋体" w:hint="eastAsia"/>
          <w:color w:val="000000"/>
          <w:kern w:val="0"/>
          <w:sz w:val="24"/>
          <w:szCs w:val="24"/>
        </w:rPr>
        <w:t>填表人：</w:t>
      </w:r>
      <w:r>
        <w:rPr>
          <w:rFonts w:ascii="仿宋_GB2312" w:eastAsia="仿宋_GB2312" w:hAnsi="宋体" w:cs="宋体" w:hint="eastAsia"/>
          <w:color w:val="000000"/>
          <w:kern w:val="0"/>
          <w:sz w:val="24"/>
          <w:szCs w:val="24"/>
        </w:rPr>
        <w:t xml:space="preserve">          </w:t>
      </w:r>
      <w:r w:rsidRPr="004E18E2">
        <w:rPr>
          <w:rFonts w:ascii="仿宋_GB2312" w:eastAsia="仿宋_GB2312" w:hAnsi="宋体" w:cs="宋体" w:hint="eastAsia"/>
          <w:color w:val="000000"/>
          <w:kern w:val="0"/>
          <w:sz w:val="24"/>
          <w:szCs w:val="24"/>
        </w:rPr>
        <w:t xml:space="preserve">电话： </w:t>
      </w:r>
    </w:p>
    <w:tbl>
      <w:tblPr>
        <w:tblW w:w="11328" w:type="dxa"/>
        <w:tblInd w:w="-1403" w:type="dxa"/>
        <w:tblCellMar>
          <w:left w:w="0" w:type="dxa"/>
          <w:right w:w="0" w:type="dxa"/>
        </w:tblCellMar>
        <w:tblLook w:val="04A0"/>
      </w:tblPr>
      <w:tblGrid>
        <w:gridCol w:w="735"/>
        <w:gridCol w:w="2434"/>
        <w:gridCol w:w="1318"/>
        <w:gridCol w:w="1896"/>
        <w:gridCol w:w="960"/>
        <w:gridCol w:w="975"/>
        <w:gridCol w:w="1195"/>
        <w:gridCol w:w="1815"/>
      </w:tblGrid>
      <w:tr w:rsidR="004E18E2" w:rsidRPr="004E18E2" w:rsidTr="004E18E2">
        <w:trPr>
          <w:trHeight w:val="638"/>
        </w:trPr>
        <w:tc>
          <w:tcPr>
            <w:tcW w:w="73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黑体" w:eastAsia="黑体" w:hAnsi="宋体" w:cs="宋体" w:hint="eastAsia"/>
                <w:color w:val="000000"/>
                <w:kern w:val="0"/>
                <w:sz w:val="24"/>
                <w:szCs w:val="24"/>
              </w:rPr>
              <w:t>序号</w:t>
            </w:r>
          </w:p>
        </w:tc>
        <w:tc>
          <w:tcPr>
            <w:tcW w:w="2434"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黑体" w:eastAsia="黑体" w:hAnsi="宋体" w:cs="宋体" w:hint="eastAsia"/>
                <w:color w:val="000000"/>
                <w:kern w:val="0"/>
                <w:sz w:val="24"/>
                <w:szCs w:val="24"/>
              </w:rPr>
              <w:t>工 程 名 称</w:t>
            </w:r>
          </w:p>
        </w:tc>
        <w:tc>
          <w:tcPr>
            <w:tcW w:w="1318"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黑体" w:eastAsia="黑体" w:hAnsi="宋体" w:cs="宋体" w:hint="eastAsia"/>
                <w:color w:val="000000"/>
                <w:kern w:val="0"/>
                <w:sz w:val="24"/>
                <w:szCs w:val="24"/>
              </w:rPr>
              <w:t>工程地点</w:t>
            </w:r>
          </w:p>
        </w:tc>
        <w:tc>
          <w:tcPr>
            <w:tcW w:w="189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黑体" w:eastAsia="黑体" w:hAnsi="宋体" w:cs="宋体" w:hint="eastAsia"/>
                <w:color w:val="000000"/>
                <w:kern w:val="0"/>
                <w:sz w:val="24"/>
                <w:szCs w:val="24"/>
              </w:rPr>
              <w:t>超过一定规模危险性较大分部分项工程简况</w:t>
            </w: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黑体" w:eastAsia="黑体" w:hAnsi="宋体" w:cs="宋体" w:hint="eastAsia"/>
                <w:color w:val="000000"/>
                <w:kern w:val="0"/>
                <w:sz w:val="24"/>
                <w:szCs w:val="24"/>
              </w:rPr>
              <w:t>进度</w:t>
            </w:r>
          </w:p>
        </w:tc>
        <w:tc>
          <w:tcPr>
            <w:tcW w:w="97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黑体" w:eastAsia="黑体" w:hAnsi="宋体" w:cs="宋体" w:hint="eastAsia"/>
                <w:color w:val="000000"/>
                <w:kern w:val="0"/>
                <w:sz w:val="24"/>
                <w:szCs w:val="24"/>
              </w:rPr>
              <w:t>计划完工时间</w:t>
            </w:r>
          </w:p>
        </w:tc>
        <w:tc>
          <w:tcPr>
            <w:tcW w:w="119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黑体" w:eastAsia="黑体" w:hAnsi="宋体" w:cs="宋体" w:hint="eastAsia"/>
                <w:color w:val="000000"/>
                <w:kern w:val="0"/>
                <w:sz w:val="24"/>
                <w:szCs w:val="24"/>
              </w:rPr>
              <w:t>监督检查情况</w:t>
            </w:r>
          </w:p>
        </w:tc>
        <w:tc>
          <w:tcPr>
            <w:tcW w:w="181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黑体" w:eastAsia="黑体" w:hAnsi="宋体" w:cs="宋体" w:hint="eastAsia"/>
                <w:color w:val="000000"/>
                <w:kern w:val="0"/>
                <w:sz w:val="24"/>
                <w:szCs w:val="24"/>
              </w:rPr>
              <w:t>检查人员</w:t>
            </w:r>
          </w:p>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黑体" w:eastAsia="黑体" w:hAnsi="宋体" w:cs="宋体" w:hint="eastAsia"/>
                <w:color w:val="000000"/>
                <w:kern w:val="0"/>
                <w:sz w:val="24"/>
                <w:szCs w:val="24"/>
              </w:rPr>
              <w:t>及检查时间</w:t>
            </w:r>
          </w:p>
        </w:tc>
      </w:tr>
      <w:tr w:rsidR="004E18E2" w:rsidRPr="004E18E2" w:rsidTr="004E18E2">
        <w:trPr>
          <w:trHeight w:val="567"/>
        </w:trPr>
        <w:tc>
          <w:tcPr>
            <w:tcW w:w="73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仿宋_GB2312" w:eastAsia="仿宋_GB2312" w:hAnsi="宋体" w:cs="宋体" w:hint="eastAsia"/>
                <w:color w:val="000000"/>
                <w:kern w:val="0"/>
                <w:sz w:val="24"/>
                <w:szCs w:val="24"/>
              </w:rPr>
              <w:t>1</w:t>
            </w:r>
          </w:p>
        </w:tc>
        <w:tc>
          <w:tcPr>
            <w:tcW w:w="2434" w:type="dxa"/>
            <w:tcBorders>
              <w:top w:val="single" w:sz="4" w:space="0" w:color="000000"/>
              <w:left w:val="single" w:sz="4" w:space="0" w:color="000000"/>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318" w:type="dxa"/>
            <w:tcBorders>
              <w:top w:val="single" w:sz="4" w:space="0" w:color="000000"/>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896" w:type="dxa"/>
            <w:tcBorders>
              <w:top w:val="single" w:sz="4" w:space="0" w:color="000000"/>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960" w:type="dxa"/>
            <w:tcBorders>
              <w:top w:val="single" w:sz="4" w:space="0" w:color="000000"/>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975" w:type="dxa"/>
            <w:tcBorders>
              <w:top w:val="single" w:sz="4" w:space="0" w:color="000000"/>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195" w:type="dxa"/>
            <w:tcBorders>
              <w:top w:val="single" w:sz="4" w:space="0" w:color="000000"/>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815" w:type="dxa"/>
            <w:tcBorders>
              <w:top w:val="single" w:sz="4" w:space="0" w:color="000000"/>
              <w:left w:val="single" w:sz="6" w:space="0" w:color="000000" w:themeColor="text1"/>
              <w:bottom w:val="single" w:sz="6" w:space="0" w:color="000000" w:themeColor="text1"/>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r>
      <w:tr w:rsidR="004E18E2" w:rsidRPr="004E18E2" w:rsidTr="004E18E2">
        <w:trPr>
          <w:trHeight w:val="567"/>
        </w:trPr>
        <w:tc>
          <w:tcPr>
            <w:tcW w:w="73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仿宋_GB2312" w:eastAsia="仿宋_GB2312" w:hAnsi="宋体" w:cs="宋体" w:hint="eastAsia"/>
                <w:color w:val="000000"/>
                <w:kern w:val="0"/>
                <w:sz w:val="24"/>
                <w:szCs w:val="24"/>
              </w:rPr>
              <w:t>2</w:t>
            </w:r>
          </w:p>
        </w:tc>
        <w:tc>
          <w:tcPr>
            <w:tcW w:w="2434" w:type="dxa"/>
            <w:tcBorders>
              <w:top w:val="single" w:sz="6" w:space="0" w:color="000000" w:themeColor="text1"/>
              <w:left w:val="single" w:sz="4" w:space="0" w:color="000000"/>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3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8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1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815" w:type="dxa"/>
            <w:tcBorders>
              <w:top w:val="single" w:sz="6" w:space="0" w:color="000000" w:themeColor="text1"/>
              <w:left w:val="single" w:sz="6" w:space="0" w:color="000000" w:themeColor="text1"/>
              <w:bottom w:val="single" w:sz="6" w:space="0" w:color="000000" w:themeColor="text1"/>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r>
      <w:tr w:rsidR="004E18E2" w:rsidRPr="004E18E2" w:rsidTr="004E18E2">
        <w:trPr>
          <w:trHeight w:val="567"/>
        </w:trPr>
        <w:tc>
          <w:tcPr>
            <w:tcW w:w="73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r w:rsidRPr="004E18E2">
              <w:rPr>
                <w:rFonts w:ascii="仿宋_GB2312" w:eastAsia="仿宋_GB2312" w:hAnsi="宋体" w:cs="宋体" w:hint="eastAsia"/>
                <w:color w:val="000000"/>
                <w:kern w:val="0"/>
                <w:sz w:val="24"/>
                <w:szCs w:val="24"/>
              </w:rPr>
              <w:t>3</w:t>
            </w:r>
          </w:p>
        </w:tc>
        <w:tc>
          <w:tcPr>
            <w:tcW w:w="2434" w:type="dxa"/>
            <w:tcBorders>
              <w:top w:val="single" w:sz="6" w:space="0" w:color="000000" w:themeColor="text1"/>
              <w:left w:val="single" w:sz="4" w:space="0" w:color="000000"/>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3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8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1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815" w:type="dxa"/>
            <w:tcBorders>
              <w:top w:val="single" w:sz="6" w:space="0" w:color="000000" w:themeColor="text1"/>
              <w:left w:val="single" w:sz="6" w:space="0" w:color="000000" w:themeColor="text1"/>
              <w:bottom w:val="single" w:sz="6" w:space="0" w:color="000000" w:themeColor="text1"/>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r>
      <w:tr w:rsidR="004E18E2" w:rsidRPr="004E18E2" w:rsidTr="004E18E2">
        <w:trPr>
          <w:trHeight w:val="567"/>
        </w:trPr>
        <w:tc>
          <w:tcPr>
            <w:tcW w:w="73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2434" w:type="dxa"/>
            <w:tcBorders>
              <w:top w:val="single" w:sz="6" w:space="0" w:color="000000" w:themeColor="text1"/>
              <w:left w:val="single" w:sz="4" w:space="0" w:color="000000"/>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318" w:type="dxa"/>
            <w:tcBorders>
              <w:top w:val="single" w:sz="6" w:space="0" w:color="000000" w:themeColor="text1"/>
              <w:left w:val="single" w:sz="6" w:space="0" w:color="000000" w:themeColor="text1"/>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896" w:type="dxa"/>
            <w:tcBorders>
              <w:top w:val="single" w:sz="6" w:space="0" w:color="000000" w:themeColor="text1"/>
              <w:left w:val="single" w:sz="6" w:space="0" w:color="000000" w:themeColor="text1"/>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960" w:type="dxa"/>
            <w:tcBorders>
              <w:top w:val="single" w:sz="6" w:space="0" w:color="000000" w:themeColor="text1"/>
              <w:left w:val="single" w:sz="6" w:space="0" w:color="000000" w:themeColor="text1"/>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975" w:type="dxa"/>
            <w:tcBorders>
              <w:top w:val="single" w:sz="6" w:space="0" w:color="000000" w:themeColor="text1"/>
              <w:left w:val="single" w:sz="6" w:space="0" w:color="000000" w:themeColor="text1"/>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195" w:type="dxa"/>
            <w:tcBorders>
              <w:top w:val="single" w:sz="6" w:space="0" w:color="000000" w:themeColor="text1"/>
              <w:left w:val="single" w:sz="6" w:space="0" w:color="000000" w:themeColor="text1"/>
              <w:bottom w:val="single" w:sz="4" w:space="0" w:color="000000"/>
              <w:right w:val="single" w:sz="6" w:space="0" w:color="000000" w:themeColor="text1"/>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c>
          <w:tcPr>
            <w:tcW w:w="1815" w:type="dxa"/>
            <w:tcBorders>
              <w:top w:val="single" w:sz="6" w:space="0" w:color="000000" w:themeColor="text1"/>
              <w:left w:val="single" w:sz="6" w:space="0" w:color="000000" w:themeColor="text1"/>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4E18E2" w:rsidRPr="004E18E2" w:rsidRDefault="004E18E2" w:rsidP="004E18E2">
            <w:pPr>
              <w:widowControl/>
              <w:spacing w:line="330" w:lineRule="atLeast"/>
              <w:jc w:val="center"/>
              <w:rPr>
                <w:rFonts w:ascii="宋体" w:eastAsia="宋体" w:hAnsi="宋体" w:cs="宋体"/>
                <w:color w:val="343434"/>
                <w:kern w:val="0"/>
                <w:sz w:val="20"/>
                <w:szCs w:val="20"/>
              </w:rPr>
            </w:pPr>
          </w:p>
        </w:tc>
      </w:tr>
    </w:tbl>
    <w:p w:rsidR="004E18E2" w:rsidRPr="004E18E2" w:rsidRDefault="004E18E2" w:rsidP="004E18E2">
      <w:pPr>
        <w:widowControl/>
        <w:spacing w:line="400" w:lineRule="atLeast"/>
        <w:jc w:val="left"/>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备注：1.该清单填报应包含所有存在超过一定规模危险性较大分部分项工程的项目；</w:t>
      </w:r>
    </w:p>
    <w:p w:rsidR="004E18E2" w:rsidRPr="004E18E2" w:rsidRDefault="004E18E2" w:rsidP="004E18E2">
      <w:pPr>
        <w:widowControl/>
        <w:spacing w:line="400" w:lineRule="atLeast"/>
        <w:ind w:firstLineChars="250" w:firstLine="600"/>
        <w:jc w:val="left"/>
        <w:rPr>
          <w:rFonts w:ascii="宋体" w:eastAsia="宋体" w:hAnsi="宋体" w:cs="宋体" w:hint="eastAsia"/>
          <w:color w:val="333333"/>
          <w:kern w:val="0"/>
          <w:szCs w:val="21"/>
        </w:rPr>
      </w:pPr>
      <w:r w:rsidRPr="004E18E2">
        <w:rPr>
          <w:rFonts w:ascii="仿宋_GB2312" w:eastAsia="仿宋_GB2312" w:hAnsi="宋体" w:cs="宋体" w:hint="eastAsia"/>
          <w:color w:val="333333"/>
          <w:kern w:val="0"/>
          <w:sz w:val="24"/>
          <w:szCs w:val="24"/>
        </w:rPr>
        <w:t>2.表中“进度”和“计划完工时间”为超过一定规模危险性较大分部分项工程的进度和计划完工时间。</w:t>
      </w:r>
    </w:p>
    <w:p w:rsidR="004E18E2" w:rsidRPr="004E18E2" w:rsidRDefault="004E18E2" w:rsidP="004E18E2"/>
    <w:sectPr w:rsidR="004E18E2" w:rsidRPr="004E18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DBE" w:rsidRDefault="00C82DBE" w:rsidP="004E18E2">
      <w:r>
        <w:separator/>
      </w:r>
    </w:p>
  </w:endnote>
  <w:endnote w:type="continuationSeparator" w:id="1">
    <w:p w:rsidR="00C82DBE" w:rsidRDefault="00C82DBE" w:rsidP="004E18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DBE" w:rsidRDefault="00C82DBE" w:rsidP="004E18E2">
      <w:r>
        <w:separator/>
      </w:r>
    </w:p>
  </w:footnote>
  <w:footnote w:type="continuationSeparator" w:id="1">
    <w:p w:rsidR="00C82DBE" w:rsidRDefault="00C82DBE" w:rsidP="004E18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18E2"/>
    <w:rsid w:val="004E18E2"/>
    <w:rsid w:val="00C82D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18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E18E2"/>
    <w:rPr>
      <w:sz w:val="18"/>
      <w:szCs w:val="18"/>
    </w:rPr>
  </w:style>
  <w:style w:type="paragraph" w:styleId="a4">
    <w:name w:val="footer"/>
    <w:basedOn w:val="a"/>
    <w:link w:val="Char0"/>
    <w:uiPriority w:val="99"/>
    <w:semiHidden/>
    <w:unhideWhenUsed/>
    <w:rsid w:val="004E18E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E18E2"/>
    <w:rPr>
      <w:sz w:val="18"/>
      <w:szCs w:val="18"/>
    </w:rPr>
  </w:style>
</w:styles>
</file>

<file path=word/webSettings.xml><?xml version="1.0" encoding="utf-8"?>
<w:webSettings xmlns:r="http://schemas.openxmlformats.org/officeDocument/2006/relationships" xmlns:w="http://schemas.openxmlformats.org/wordprocessingml/2006/main">
  <w:divs>
    <w:div w:id="45185021">
      <w:bodyDiv w:val="1"/>
      <w:marLeft w:val="0"/>
      <w:marRight w:val="0"/>
      <w:marTop w:val="0"/>
      <w:marBottom w:val="0"/>
      <w:divBdr>
        <w:top w:val="none" w:sz="0" w:space="0" w:color="auto"/>
        <w:left w:val="none" w:sz="0" w:space="0" w:color="auto"/>
        <w:bottom w:val="none" w:sz="0" w:space="0" w:color="auto"/>
        <w:right w:val="none" w:sz="0" w:space="0" w:color="auto"/>
      </w:divBdr>
      <w:divsChild>
        <w:div w:id="2018924784">
          <w:marLeft w:val="0"/>
          <w:marRight w:val="0"/>
          <w:marTop w:val="60"/>
          <w:marBottom w:val="0"/>
          <w:divBdr>
            <w:top w:val="dashed" w:sz="2" w:space="0" w:color="0000FF"/>
            <w:left w:val="dashed" w:sz="2" w:space="0" w:color="0000FF"/>
            <w:bottom w:val="dashed" w:sz="2" w:space="0" w:color="0000FF"/>
            <w:right w:val="dashed" w:sz="2" w:space="0" w:color="0000FF"/>
          </w:divBdr>
          <w:divsChild>
            <w:div w:id="1148088751">
              <w:marLeft w:val="150"/>
              <w:marRight w:val="0"/>
              <w:marTop w:val="75"/>
              <w:marBottom w:val="0"/>
              <w:divBdr>
                <w:top w:val="dashed" w:sz="2" w:space="0" w:color="CCCCCC"/>
                <w:left w:val="dashed" w:sz="2" w:space="0" w:color="CCCCCC"/>
                <w:bottom w:val="dashed" w:sz="2" w:space="0" w:color="CCCCCC"/>
                <w:right w:val="dashed" w:sz="2" w:space="0" w:color="CCCCCC"/>
              </w:divBdr>
              <w:divsChild>
                <w:div w:id="1227451558">
                  <w:marLeft w:val="0"/>
                  <w:marRight w:val="0"/>
                  <w:marTop w:val="0"/>
                  <w:marBottom w:val="0"/>
                  <w:divBdr>
                    <w:top w:val="dashed" w:sz="2" w:space="0" w:color="CCCCCC"/>
                    <w:left w:val="dashed" w:sz="2" w:space="0" w:color="CCCCCC"/>
                    <w:bottom w:val="dashed" w:sz="2" w:space="0" w:color="CCCCCC"/>
                    <w:right w:val="dashed" w:sz="2" w:space="0" w:color="CCCCCC"/>
                  </w:divBdr>
                  <w:divsChild>
                    <w:div w:id="1425761903">
                      <w:marLeft w:val="1275"/>
                      <w:marRight w:val="0"/>
                      <w:marTop w:val="375"/>
                      <w:marBottom w:val="0"/>
                      <w:divBdr>
                        <w:top w:val="dashed" w:sz="2" w:space="0" w:color="FF00FF"/>
                        <w:left w:val="dashed" w:sz="2" w:space="0" w:color="FF00FF"/>
                        <w:bottom w:val="dashed" w:sz="2" w:space="0" w:color="FF00FF"/>
                        <w:right w:val="dashed" w:sz="2" w:space="0" w:color="FF00FF"/>
                      </w:divBdr>
                      <w:divsChild>
                        <w:div w:id="1229455837">
                          <w:marLeft w:val="0"/>
                          <w:marRight w:val="0"/>
                          <w:marTop w:val="0"/>
                          <w:marBottom w:val="0"/>
                          <w:divBdr>
                            <w:top w:val="none" w:sz="0" w:space="0" w:color="auto"/>
                            <w:left w:val="none" w:sz="0" w:space="0" w:color="auto"/>
                            <w:bottom w:val="none" w:sz="0" w:space="0" w:color="auto"/>
                            <w:right w:val="none" w:sz="0" w:space="0" w:color="auto"/>
                          </w:divBdr>
                        </w:div>
                        <w:div w:id="18556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551</Words>
  <Characters>3142</Characters>
  <Application>Microsoft Office Word</Application>
  <DocSecurity>0</DocSecurity>
  <Lines>26</Lines>
  <Paragraphs>7</Paragraphs>
  <ScaleCrop>false</ScaleCrop>
  <Company>bokun</Company>
  <LinksUpToDate>false</LinksUpToDate>
  <CharactersWithSpaces>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2016-03-24T03:22:00Z</dcterms:created>
  <dcterms:modified xsi:type="dcterms:W3CDTF">2016-03-24T03:28:00Z</dcterms:modified>
</cp:coreProperties>
</file>