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41873" w:rsidRDefault="00C41873" w:rsidP="00C41873">
      <w:pPr>
        <w:jc w:val="center"/>
        <w:rPr>
          <w:rFonts w:ascii="微软雅黑" w:eastAsia="微软雅黑" w:hAnsi="微软雅黑" w:hint="eastAsia"/>
          <w:b/>
          <w:bCs/>
          <w:color w:val="0E59A4"/>
          <w:sz w:val="36"/>
          <w:szCs w:val="36"/>
        </w:rPr>
      </w:pPr>
      <w:r w:rsidRPr="00C41873">
        <w:rPr>
          <w:rFonts w:ascii="微软雅黑" w:eastAsia="微软雅黑" w:hAnsi="微软雅黑" w:hint="eastAsia"/>
          <w:b/>
          <w:bCs/>
          <w:color w:val="0E59A4"/>
          <w:sz w:val="36"/>
          <w:szCs w:val="36"/>
        </w:rPr>
        <w:t>佛山市南海区住房城乡建设和水利局关于建筑施工行业实施安全生产责任保险的通知</w:t>
      </w:r>
    </w:p>
    <w:p w:rsidR="00C41873" w:rsidRDefault="00C41873">
      <w:pPr>
        <w:rPr>
          <w:rFonts w:ascii="微软雅黑" w:eastAsia="微软雅黑" w:hAnsi="微软雅黑" w:hint="eastAsia"/>
          <w:b/>
          <w:bCs/>
          <w:color w:val="0E59A4"/>
          <w:sz w:val="61"/>
          <w:szCs w:val="61"/>
        </w:rPr>
      </w:pP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各镇（街道）城建和水利办公室，区建筑工程施工安全监督站，各建设、施工和监理企业：</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为认真贯彻国家，省和市关于推进安全生产领域改革发展决策部署，构建我区建筑施工行业更加高效的安全生产风险防控机制，落实我区建筑施工行业安全生产责任保险制度，预防和减少生产安全事故，提高企业风险抵御能力，提高行业安全管理水平，促进行业高质量发展，根据《中华人民共和国安全生产法》（2021年修订）、《国家安全监管总局 保监会 财政部关于印发〈安全生产责任保险实施办法〉的通知》(安监总办〔2017〕140号)、《广东省安全生产责任保险实施办法》（广东省人民政府令第274号）和《广东省应急管理厅广东省地方金融监管局中国银行保险监督管理委员会广东监管局关于印发〈广东省安全生产责任保险实施方案〉的通知》（粤应急规〔2021〕2号）等法律法规及文件规定，结合我区实际，现就我区建筑施工行业实施安全生产责任保险（以下简称“建工安责险”）事项通知如下：</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一、建工安责险释义</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我区建工安责险是保险机构对我区投保的房屋市政工程项目生产安全事故造成的人员伤亡和有关经济损失等予以赔偿，并且为我区建筑施工行业提供事故</w:t>
      </w:r>
      <w:r w:rsidRPr="00C41873">
        <w:rPr>
          <w:rFonts w:ascii="宋体" w:eastAsia="宋体" w:hAnsi="宋体" w:cs="宋体" w:hint="eastAsia"/>
          <w:color w:val="333333"/>
          <w:kern w:val="0"/>
          <w:sz w:val="24"/>
          <w:szCs w:val="24"/>
        </w:rPr>
        <w:lastRenderedPageBreak/>
        <w:t>预防服务的强制商业保险，与工伤保险为并行关系，保险责任包括生产安全事故造成的从业人员人身伤亡赔偿、第三者人身伤亡和财产损失赔偿，以及上述产生的医疗救护、抢险救援、事故鉴定和法律服务等费用。具体详见附件。</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二、实施范围</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安全生产法》（2021年修订）于2021年9月1日起实施，第五十一条规定，属于国家规定的高危行业、领域的生产经营单位，应当投保安全生产责任保险。建筑施工行业属于国家规定的八大高危行业之一，自发文之日起，全区新申领施工许可的房屋建筑工程和市政基础设施工程项目，施工单位必须投保建工安责险。在本通知发文之前已申领施工许可的房屋建筑工程和市政基础设施工程项目，鼓励施工单位参照本通知投保建工安责险。</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三、承保单位</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为高效推进我区建工安责险实施落地，有效预防和减少生产安全事故，提高企业风险抵御能力，提高行业安全管理水平，促进行业高质量发展，有序推进安全事故预防服务，避免建工安责险承保展业市场恶性竞争，借鉴其他地市经验，建议施工企业向偿付和事故预防服务更有保障的共保体投保建工安责险。</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（一）共保体</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按照有关规定，我局通过公开招标，选定了四家保险机构组建了建工安责险共保体，可承保我区建工安责险，具体如下：</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1.首席承保人：中国人民财产保险股份有限公司广东省分公司。</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2.共保人：中国平安财产保险股份有限公司广东分公司、中国大地财产保险股份有限公司广东分公司、中华联合财产保险股份有限公司广东分公司。</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首席承保人负责建工安责险的承保、理赔和事故预防服务工作（联系电话：0757-86231276）。</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（二）其他独立展业的保险机构</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鉴于建工安责险对于保险机构的偿付能力和事故预防服务水平有较高的要求，除上述共保体外，其他有意向在我区承保建工安责险的保险机构，应具备商业信誉良好、偿付能力高、理赔高效等条件，并成立事故预防服务团队、制定安责险服务方案向我局报备，接受我局考核。</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四、投保方式、承保期限及费率</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（一）投保方式</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1.建工安责险以项目为单位，实行不记名和不计人数的方式投保；</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2.建工安责险保费由施工总承包企业以项目为单位缴纳，不得以任何形式摊派给从业人员；专业分包单位应按工程造价比例承担投保费用。</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（二）承保期限</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1.未开工项目，自工程项目施工许可之日起至施工许可证载竣工之日（按合同工期计算）。</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2.已开工项目，自保单生效之日起至施工许可证载竣工之日（按合同工期计算）。</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3.保险期限届满时工程未竣工的，投保人应在保险期限届满之日前30日内向保险人申请办理延期手续，延期在3个月以内，免费延期，延期超3个月的延期保费按照剩余工程造价及延期期限计算。</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4.如工程因故中止施工3个月以上的，投保人可在停工之前向保险人申请办理保单暂停手续，保单暂停期间保险公司不承担保险责任，原保险期限可顺延。</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（三）保险费</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保险费由主险（必选）和附加险（可选）组成，计算方式为：保险费=工程造价*基础费率之和*系数A*系数B*系数C*系数D，其中，工程造价以网签备案合同价为准，基础费率参考价和系数详见附件。</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为提高承保效率，结合其他地市经验，保险机构和投保人可根据项目实际风险情况，就费率浮动进行协商。对于屡次拒不整改隐患及其他不良行为的投保人，保险机构可适当提高费率。具体费率及费用计算方式详见附件。</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五、理赔处理</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保险机构要建立健全快速赔付机制，在事故发生后按照法律规定和合同约定，对于确定范围的，实施预先赔付；保险机构认为不属于理赔范围的，应充分说明理由；理赔条款不得设置出具政府部门相关证明材料的条件。</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（一）理赔程序</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1.发生安全事故后，投保企业应当在48小时内向承保机构报案。</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承保机构在受理报案后30分钟内，安排理赔人员进行电话回访，向被保险人一次性提供索赔资料清单；对于需要查勘现场的或现场需要协助的，保险服务人员应在2个小时内到达现场进行查勘，同时协助被保险人实施应急措施，减少损失。</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3.保险机构理赔人员初步审核单证后，如果发现资料欠缺，可以一次性提出补充资料的要求，收到齐全的索赔资料并与被保险人就赔款金额达成一致意见后，按照下列要求履行给付保险金的义务：</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（1）对于5000元以下医疗费用（不涉及住院）赔偿，可以微信提交资料，实现即时结案支付。</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（2）赔偿金额在人民币5000元-10万元（含）之间的，应在1个工作日内支付赔款。</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（3）赔偿金额在人民币10万元-100万元（含）之间的，应在2个工作日内支付赔款。</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（4）赔偿金额在人民币100万元以上的，应在3个工作日内支付赔款。</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（二）赔偿额度</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根据投保的险种，按照以下限额赔付：</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1.工程造价在1亿元以下工程，保单累计赔付限额2000万人民币；每次赔付限额500万。</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2.工程造价在1亿元以上工程：保单累计赔付限额5000万人民币；每次赔付限额1000万。</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六、工作要求</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（一）建设单位在编制工程预算时，应考虑增加建工安责险的费用，在发包工程项目时，应告知并督促施工企业投保建工安责险。</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二）施工企业在承接工程项目后，应主动投保建工安责险，不得无故退保，要积极配合保险机构开展安全生产宣传教育培训、生产安全事故隐患排查和安全生产风险评估服务，并对发现的生产安全事故隐患及时进行整改。</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三）保险机构要成立建工安责险业务团队，建立事故预防服务机构，制定服务工作方案，为所有投保企业提供专业的事故预防服务，定期向我局提交月度、季度工作报告及年度总结工作报告。保险机构要配合建设行政主管部门开展建筑施工安全管理工作，对于存在重大事故隐患或者对事故隐患整改建议拒不整改的企业，保险机构要向建设行政主管部门报告。</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四）各镇（街道）城建和水利办、区建筑工程施工安全监督站要依法督促所属监督的工程项目投保建工安责险，对于未按要求购买建工安责险的工程项目，要及时上报，我局将根据法律法规及文件要求，对未按要求购买建工安责险的施工企业予以严肃处理。</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五）我局将定期对承接我区建工安责险的保险机构进行考核，对于存在违规展业、事故预防服务落实不到位、保险义务履行不到位等不良行为，且不能立即改正的保险机构，我局将向有关金融监管部门通报其不良行为，向“信用南海”提供其不良信用信息，并在区建筑施工行业发布风险提醒。同时，对于继续向存在不良行为保险机构投保的工程项目，我局将予以重点监管。</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附件：保险费率和保费计算方式</w:t>
      </w:r>
    </w:p>
    <w:p w:rsidR="00C41873" w:rsidRPr="00C41873" w:rsidRDefault="00C41873" w:rsidP="00C41873">
      <w:pPr>
        <w:widowControl/>
        <w:shd w:val="clear" w:color="auto" w:fill="FFFFFF"/>
        <w:spacing w:before="100" w:beforeAutospacing="1" w:after="100" w:afterAutospacing="1" w:line="480" w:lineRule="auto"/>
        <w:jc w:val="righ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佛山市南海区住房城乡建设和水利局</w:t>
      </w:r>
    </w:p>
    <w:p w:rsidR="00C41873" w:rsidRPr="00C41873" w:rsidRDefault="00C41873" w:rsidP="00C41873">
      <w:pPr>
        <w:widowControl/>
        <w:shd w:val="clear" w:color="auto" w:fill="FFFFFF"/>
        <w:spacing w:before="100" w:beforeAutospacing="1" w:after="100" w:afterAutospacing="1" w:line="480" w:lineRule="auto"/>
        <w:jc w:val="righ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2021年11月18日</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附件</w:t>
      </w:r>
    </w:p>
    <w:p w:rsidR="00C41873" w:rsidRPr="00C41873" w:rsidRDefault="00C41873" w:rsidP="00C41873">
      <w:pPr>
        <w:widowControl/>
        <w:shd w:val="clear" w:color="auto" w:fill="FFFFFF"/>
        <w:spacing w:before="100" w:beforeAutospacing="1" w:after="100" w:afterAutospacing="1" w:line="480" w:lineRule="auto"/>
        <w:jc w:val="center"/>
        <w:outlineLvl w:val="2"/>
        <w:rPr>
          <w:rFonts w:ascii="宋体" w:eastAsia="宋体" w:hAnsi="宋体" w:cs="宋体" w:hint="eastAsia"/>
          <w:b/>
          <w:bCs/>
          <w:color w:val="333333"/>
          <w:kern w:val="0"/>
          <w:sz w:val="24"/>
          <w:szCs w:val="24"/>
        </w:rPr>
      </w:pPr>
      <w:r w:rsidRPr="00C41873">
        <w:rPr>
          <w:rFonts w:ascii="宋体" w:eastAsia="宋体" w:hAnsi="宋体" w:cs="宋体" w:hint="eastAsia"/>
          <w:b/>
          <w:bCs/>
          <w:color w:val="333333"/>
          <w:kern w:val="0"/>
          <w:sz w:val="24"/>
          <w:szCs w:val="24"/>
        </w:rPr>
        <w:t xml:space="preserve">　　保险费率和保费计算方式</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一、主险基础费率（必选）</w:t>
      </w:r>
    </w:p>
    <w:tbl>
      <w:tblPr>
        <w:tblW w:w="9498" w:type="dxa"/>
        <w:tblInd w:w="-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411"/>
        <w:gridCol w:w="2015"/>
        <w:gridCol w:w="3746"/>
        <w:gridCol w:w="1326"/>
      </w:tblGrid>
      <w:tr w:rsidR="00C41873" w:rsidRPr="00C41873" w:rsidTr="00C41873">
        <w:tc>
          <w:tcPr>
            <w:tcW w:w="1269"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保险责任</w:t>
            </w: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限额</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限额说明</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投保费率</w:t>
            </w:r>
          </w:p>
        </w:tc>
      </w:tr>
      <w:tr w:rsidR="00C41873" w:rsidRPr="00C41873" w:rsidTr="00C41873">
        <w:tc>
          <w:tcPr>
            <w:tcW w:w="1269" w:type="pct"/>
            <w:vMerge w:val="restar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从业人员、第三者死亡</w:t>
            </w:r>
          </w:p>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（其中含6档可选）</w:t>
            </w: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50 万元/人</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 50 万元</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0.07%</w:t>
            </w:r>
          </w:p>
        </w:tc>
      </w:tr>
      <w:tr w:rsidR="00C41873" w:rsidRPr="00C41873" w:rsidTr="00C41873">
        <w:tc>
          <w:tcPr>
            <w:tcW w:w="1269"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60 万元/人</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 60 万元</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0.08%</w:t>
            </w:r>
          </w:p>
        </w:tc>
      </w:tr>
      <w:tr w:rsidR="00C41873" w:rsidRPr="00C41873" w:rsidTr="00C41873">
        <w:tc>
          <w:tcPr>
            <w:tcW w:w="1269"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70 万元/人</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 70 万元</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0.09%</w:t>
            </w:r>
          </w:p>
        </w:tc>
      </w:tr>
      <w:tr w:rsidR="00C41873" w:rsidRPr="00C41873" w:rsidTr="00C41873">
        <w:tc>
          <w:tcPr>
            <w:tcW w:w="1269"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80 万元/人</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 80 万元</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0.1%</w:t>
            </w:r>
          </w:p>
        </w:tc>
      </w:tr>
      <w:tr w:rsidR="00C41873" w:rsidRPr="00C41873" w:rsidTr="00C41873">
        <w:tc>
          <w:tcPr>
            <w:tcW w:w="1269"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90 万元/人</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 90 万元</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0.105%</w:t>
            </w:r>
          </w:p>
        </w:tc>
      </w:tr>
      <w:tr w:rsidR="00C41873" w:rsidRPr="00C41873" w:rsidTr="00C41873">
        <w:tc>
          <w:tcPr>
            <w:tcW w:w="1269"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100 万元/人</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每人赔偿限额为100 万元</w:t>
            </w:r>
          </w:p>
        </w:tc>
        <w:tc>
          <w:tcPr>
            <w:tcW w:w="698"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0.11%</w:t>
            </w:r>
          </w:p>
        </w:tc>
      </w:tr>
      <w:tr w:rsidR="00C41873" w:rsidRPr="00C41873" w:rsidTr="00C41873">
        <w:tc>
          <w:tcPr>
            <w:tcW w:w="1269"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事故抢险救援及医疗救护费用保障</w:t>
            </w: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10 万元</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按实际发生费用在每次事故限额内赔偿</w:t>
            </w:r>
          </w:p>
        </w:tc>
        <w:tc>
          <w:tcPr>
            <w:tcW w:w="698" w:type="pct"/>
            <w:vMerge w:val="restar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0.01%</w:t>
            </w:r>
          </w:p>
        </w:tc>
      </w:tr>
      <w:tr w:rsidR="00C41873" w:rsidRPr="00C41873" w:rsidTr="00C41873">
        <w:tc>
          <w:tcPr>
            <w:tcW w:w="1269"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每次事故及累计事故鉴定费用责任限额</w:t>
            </w: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10万元</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按实际发生费用在每次事故限额内赔偿</w:t>
            </w:r>
          </w:p>
        </w:tc>
        <w:tc>
          <w:tcPr>
            <w:tcW w:w="698"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r>
      <w:tr w:rsidR="00C41873" w:rsidRPr="00C41873" w:rsidTr="00C41873">
        <w:tc>
          <w:tcPr>
            <w:tcW w:w="1269"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每次事故及累计法律费用责任限额</w:t>
            </w:r>
          </w:p>
        </w:tc>
        <w:tc>
          <w:tcPr>
            <w:tcW w:w="106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累积责任限额的5%</w:t>
            </w:r>
          </w:p>
        </w:tc>
        <w:tc>
          <w:tcPr>
            <w:tcW w:w="197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按实际发生费用在每次事故限额内赔偿</w:t>
            </w:r>
          </w:p>
        </w:tc>
        <w:tc>
          <w:tcPr>
            <w:tcW w:w="698" w:type="pct"/>
            <w:vMerge/>
            <w:tcBorders>
              <w:top w:val="single" w:sz="6" w:space="0" w:color="000000"/>
              <w:left w:val="single" w:sz="6" w:space="0" w:color="000000"/>
              <w:bottom w:val="single" w:sz="6" w:space="0" w:color="000000"/>
              <w:right w:val="single" w:sz="6"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r>
    </w:tbl>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二、附加险基础费率（可选）</w:t>
      </w:r>
    </w:p>
    <w:tbl>
      <w:tblPr>
        <w:tblW w:w="9498" w:type="dxa"/>
        <w:tblInd w:w="-450" w:type="dxa"/>
        <w:tblCellMar>
          <w:top w:w="15" w:type="dxa"/>
          <w:left w:w="15" w:type="dxa"/>
          <w:bottom w:w="15" w:type="dxa"/>
          <w:right w:w="15" w:type="dxa"/>
        </w:tblCellMar>
        <w:tblLook w:val="04A0"/>
      </w:tblPr>
      <w:tblGrid>
        <w:gridCol w:w="2550"/>
        <w:gridCol w:w="1843"/>
        <w:gridCol w:w="3828"/>
        <w:gridCol w:w="1277"/>
      </w:tblGrid>
      <w:tr w:rsidR="00C41873" w:rsidRPr="00C41873" w:rsidTr="00C41873">
        <w:tc>
          <w:tcPr>
            <w:tcW w:w="1343" w:type="pct"/>
            <w:tcBorders>
              <w:top w:val="single" w:sz="8" w:space="0" w:color="000000"/>
              <w:left w:val="single" w:sz="8" w:space="0" w:color="000000"/>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保险责任</w:t>
            </w:r>
          </w:p>
        </w:tc>
        <w:tc>
          <w:tcPr>
            <w:tcW w:w="970" w:type="pct"/>
            <w:tcBorders>
              <w:top w:val="single" w:sz="8" w:space="0" w:color="000000"/>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限额</w:t>
            </w:r>
          </w:p>
        </w:tc>
        <w:tc>
          <w:tcPr>
            <w:tcW w:w="2015" w:type="pct"/>
            <w:tcBorders>
              <w:top w:val="single" w:sz="8" w:space="0" w:color="000000"/>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限额说明</w:t>
            </w:r>
          </w:p>
        </w:tc>
        <w:tc>
          <w:tcPr>
            <w:tcW w:w="672" w:type="pct"/>
            <w:tcBorders>
              <w:top w:val="single" w:sz="8" w:space="0" w:color="000000"/>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基础费率</w:t>
            </w:r>
          </w:p>
        </w:tc>
      </w:tr>
      <w:tr w:rsidR="00C41873" w:rsidRPr="00C41873" w:rsidTr="00C41873">
        <w:tc>
          <w:tcPr>
            <w:tcW w:w="1343" w:type="pct"/>
            <w:vMerge w:val="restart"/>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从业人员、</w:t>
            </w:r>
            <w:r w:rsidRPr="00C41873">
              <w:rPr>
                <w:rFonts w:ascii="宋体" w:eastAsia="宋体" w:hAnsi="宋体" w:cs="宋体" w:hint="eastAsia"/>
                <w:color w:val="333333"/>
                <w:kern w:val="0"/>
                <w:sz w:val="24"/>
                <w:szCs w:val="24"/>
              </w:rPr>
              <w:br/>
              <w:t>第三者伤残</w:t>
            </w:r>
            <w:r w:rsidRPr="00C41873">
              <w:rPr>
                <w:rFonts w:ascii="宋体" w:eastAsia="宋体" w:hAnsi="宋体" w:cs="宋体" w:hint="eastAsia"/>
                <w:color w:val="333333"/>
                <w:kern w:val="0"/>
                <w:sz w:val="24"/>
                <w:szCs w:val="24"/>
              </w:rPr>
              <w:br/>
              <w:t>（从业人员与第三者责任限额一致其中含2档可选）</w:t>
            </w:r>
          </w:p>
        </w:tc>
        <w:tc>
          <w:tcPr>
            <w:tcW w:w="970"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30 万元/人</w:t>
            </w:r>
          </w:p>
        </w:tc>
        <w:tc>
          <w:tcPr>
            <w:tcW w:w="2015"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每人赔偿限额为30万元</w:t>
            </w:r>
          </w:p>
        </w:tc>
        <w:tc>
          <w:tcPr>
            <w:tcW w:w="672"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0.02%</w:t>
            </w:r>
          </w:p>
        </w:tc>
      </w:tr>
      <w:tr w:rsidR="00C41873" w:rsidRPr="00C41873" w:rsidTr="00C41873">
        <w:tc>
          <w:tcPr>
            <w:tcW w:w="1343" w:type="pct"/>
            <w:vMerge/>
            <w:tcBorders>
              <w:top w:val="nil"/>
              <w:left w:val="single" w:sz="8" w:space="0" w:color="000000"/>
              <w:bottom w:val="single" w:sz="8" w:space="0" w:color="000000"/>
              <w:right w:val="single" w:sz="8" w:space="0" w:color="000000"/>
            </w:tcBorders>
            <w:vAlign w:val="center"/>
            <w:hideMark/>
          </w:tcPr>
          <w:p w:rsidR="00C41873" w:rsidRPr="00C41873" w:rsidRDefault="00C41873" w:rsidP="00C41873">
            <w:pPr>
              <w:widowControl/>
              <w:jc w:val="left"/>
              <w:rPr>
                <w:rFonts w:ascii="宋体" w:eastAsia="宋体" w:hAnsi="宋体" w:cs="宋体"/>
                <w:color w:val="333333"/>
                <w:kern w:val="0"/>
                <w:sz w:val="24"/>
                <w:szCs w:val="24"/>
              </w:rPr>
            </w:pPr>
          </w:p>
        </w:tc>
        <w:tc>
          <w:tcPr>
            <w:tcW w:w="970"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60万元/人</w:t>
            </w:r>
          </w:p>
        </w:tc>
        <w:tc>
          <w:tcPr>
            <w:tcW w:w="2015"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每人赔偿限额为60万元</w:t>
            </w:r>
          </w:p>
        </w:tc>
        <w:tc>
          <w:tcPr>
            <w:tcW w:w="672"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0.04%</w:t>
            </w:r>
          </w:p>
        </w:tc>
      </w:tr>
      <w:tr w:rsidR="00C41873" w:rsidRPr="00C41873" w:rsidTr="00C41873">
        <w:tc>
          <w:tcPr>
            <w:tcW w:w="1343" w:type="pct"/>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从业人员、</w:t>
            </w:r>
          </w:p>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第三者医疗费用</w:t>
            </w:r>
          </w:p>
        </w:tc>
        <w:tc>
          <w:tcPr>
            <w:tcW w:w="970"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5 万元/人</w:t>
            </w:r>
          </w:p>
        </w:tc>
        <w:tc>
          <w:tcPr>
            <w:tcW w:w="2015"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每人赔偿限额为 5 万元</w:t>
            </w:r>
          </w:p>
        </w:tc>
        <w:tc>
          <w:tcPr>
            <w:tcW w:w="672"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0.03%</w:t>
            </w:r>
          </w:p>
        </w:tc>
      </w:tr>
      <w:tr w:rsidR="00C41873" w:rsidRPr="00C41873" w:rsidTr="00C41873">
        <w:tc>
          <w:tcPr>
            <w:tcW w:w="1343" w:type="pct"/>
            <w:tcBorders>
              <w:top w:val="nil"/>
              <w:left w:val="single" w:sz="8" w:space="0" w:color="000000"/>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第三者直接财产损失</w:t>
            </w:r>
          </w:p>
        </w:tc>
        <w:tc>
          <w:tcPr>
            <w:tcW w:w="970"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10万元/人</w:t>
            </w:r>
          </w:p>
        </w:tc>
        <w:tc>
          <w:tcPr>
            <w:tcW w:w="2015"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仅限施工区域内。保单累计及每次事故赔偿限额10万元，同时投保伤残及医疗附加险的，免费扩展，不单独投保。</w:t>
            </w:r>
          </w:p>
        </w:tc>
        <w:tc>
          <w:tcPr>
            <w:tcW w:w="672" w:type="pct"/>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w:t>
            </w:r>
          </w:p>
        </w:tc>
      </w:tr>
    </w:tbl>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三、计算方式</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（一）工期调整系数A</w:t>
      </w:r>
    </w:p>
    <w:tbl>
      <w:tblPr>
        <w:tblW w:w="9293" w:type="dxa"/>
        <w:tblCellMar>
          <w:top w:w="15" w:type="dxa"/>
          <w:left w:w="15" w:type="dxa"/>
          <w:bottom w:w="15" w:type="dxa"/>
          <w:right w:w="15" w:type="dxa"/>
        </w:tblCellMar>
        <w:tblLook w:val="04A0"/>
      </w:tblPr>
      <w:tblGrid>
        <w:gridCol w:w="5217"/>
        <w:gridCol w:w="4076"/>
      </w:tblGrid>
      <w:tr w:rsidR="00C41873" w:rsidRPr="00C41873" w:rsidTr="00C41873">
        <w:tc>
          <w:tcPr>
            <w:tcW w:w="2806" w:type="pct"/>
            <w:tcBorders>
              <w:top w:val="single" w:sz="8" w:space="0" w:color="000000"/>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工期</w:t>
            </w:r>
          </w:p>
        </w:tc>
        <w:tc>
          <w:tcPr>
            <w:tcW w:w="2193" w:type="pct"/>
            <w:tcBorders>
              <w:top w:val="single" w:sz="8" w:space="0" w:color="000000"/>
              <w:left w:val="nil"/>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系数</w:t>
            </w:r>
          </w:p>
        </w:tc>
      </w:tr>
      <w:tr w:rsidR="00C41873" w:rsidRPr="00C41873" w:rsidTr="00C41873">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1-12个月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0.9</w:t>
            </w:r>
          </w:p>
        </w:tc>
      </w:tr>
      <w:tr w:rsidR="00C41873" w:rsidRPr="00C41873" w:rsidTr="00C41873">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13-24个月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0.95</w:t>
            </w:r>
          </w:p>
        </w:tc>
      </w:tr>
      <w:tr w:rsidR="00C41873" w:rsidRPr="00C41873" w:rsidTr="00C41873">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25-36个月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w:t>
            </w:r>
          </w:p>
        </w:tc>
      </w:tr>
      <w:tr w:rsidR="00C41873" w:rsidRPr="00C41873" w:rsidTr="00C41873">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37个月-60个月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1.2</w:t>
            </w:r>
          </w:p>
        </w:tc>
      </w:tr>
      <w:tr w:rsidR="00C41873" w:rsidRPr="00C41873" w:rsidTr="00C41873">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61个月以上</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逐单议</w:t>
            </w:r>
          </w:p>
        </w:tc>
      </w:tr>
    </w:tbl>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备注：不足 1 个月按 1 个月计算。</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（二）合同造价规模系数B</w:t>
      </w:r>
    </w:p>
    <w:tbl>
      <w:tblPr>
        <w:tblW w:w="937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10"/>
        <w:gridCol w:w="3867"/>
      </w:tblGrid>
      <w:tr w:rsidR="00C41873" w:rsidRPr="00C41873" w:rsidTr="00C41873">
        <w:tc>
          <w:tcPr>
            <w:tcW w:w="2937"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合同总造价（单位：元）</w:t>
            </w:r>
          </w:p>
        </w:tc>
        <w:tc>
          <w:tcPr>
            <w:tcW w:w="206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系数</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3000万以下</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1.3</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3000以上，不足1亿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1.2</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1亿以上，不足3亿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3亿以上，不足5亿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0.9</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5亿以上，不足10亿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0.8</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10亿以上</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0.75</w:t>
            </w:r>
          </w:p>
        </w:tc>
      </w:tr>
    </w:tbl>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（三）工程类型系数C</w:t>
      </w:r>
    </w:p>
    <w:tbl>
      <w:tblPr>
        <w:tblW w:w="937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10"/>
        <w:gridCol w:w="3867"/>
      </w:tblGrid>
      <w:tr w:rsidR="00C41873" w:rsidRPr="00C41873" w:rsidTr="00C41873">
        <w:tc>
          <w:tcPr>
            <w:tcW w:w="2937"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工程类型</w:t>
            </w:r>
          </w:p>
        </w:tc>
        <w:tc>
          <w:tcPr>
            <w:tcW w:w="206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调整系数</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市政工程（非道路、桥梁、轨道）</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0.9</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楼宇建造（含主体建造、装修）</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机械拆除（含爆破）</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1.1</w:t>
            </w:r>
          </w:p>
        </w:tc>
      </w:tr>
      <w:tr w:rsidR="00C41873" w:rsidRPr="00C41873" w:rsidTr="00C41873">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人工拆除</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1.4</w:t>
            </w:r>
          </w:p>
        </w:tc>
      </w:tr>
    </w:tbl>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（四）佛山市建筑行业企业诚信综合考评等级系数D</w:t>
      </w:r>
    </w:p>
    <w:tbl>
      <w:tblPr>
        <w:tblW w:w="92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862"/>
        <w:gridCol w:w="3398"/>
      </w:tblGrid>
      <w:tr w:rsidR="00C41873" w:rsidRPr="00C41873" w:rsidTr="00C41873">
        <w:tc>
          <w:tcPr>
            <w:tcW w:w="3164"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诚信企业标准</w:t>
            </w:r>
          </w:p>
        </w:tc>
        <w:tc>
          <w:tcPr>
            <w:tcW w:w="1835"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b/>
                <w:bCs/>
                <w:color w:val="333333"/>
                <w:kern w:val="0"/>
                <w:sz w:val="24"/>
                <w:szCs w:val="24"/>
              </w:rPr>
              <w:t>调整系数</w:t>
            </w:r>
          </w:p>
        </w:tc>
      </w:tr>
      <w:tr w:rsidR="00C41873" w:rsidRPr="00C41873" w:rsidTr="00C41873">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A级企业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0.95</w:t>
            </w:r>
          </w:p>
        </w:tc>
      </w:tr>
      <w:tr w:rsidR="00C41873" w:rsidRPr="00C41873" w:rsidTr="00C41873">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B级企业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w:t>
            </w:r>
          </w:p>
        </w:tc>
      </w:tr>
      <w:tr w:rsidR="00C41873" w:rsidRPr="00C41873" w:rsidTr="00C41873">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C级企业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1.05</w:t>
            </w:r>
          </w:p>
        </w:tc>
      </w:tr>
      <w:tr w:rsidR="00C41873" w:rsidRPr="00C41873" w:rsidTr="00C41873">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D级企业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C41873" w:rsidRPr="00C41873" w:rsidRDefault="00C41873" w:rsidP="00C41873">
            <w:pPr>
              <w:widowControl/>
              <w:spacing w:before="100" w:beforeAutospacing="1" w:after="100" w:afterAutospacing="1" w:line="480" w:lineRule="auto"/>
              <w:jc w:val="left"/>
              <w:rPr>
                <w:rFonts w:ascii="宋体" w:eastAsia="宋体" w:hAnsi="宋体" w:cs="宋体"/>
                <w:color w:val="333333"/>
                <w:kern w:val="0"/>
                <w:sz w:val="24"/>
                <w:szCs w:val="24"/>
              </w:rPr>
            </w:pPr>
            <w:r w:rsidRPr="00C41873">
              <w:rPr>
                <w:rFonts w:ascii="宋体" w:eastAsia="宋体" w:hAnsi="宋体" w:cs="宋体" w:hint="eastAsia"/>
                <w:color w:val="333333"/>
                <w:kern w:val="0"/>
                <w:sz w:val="24"/>
                <w:szCs w:val="24"/>
              </w:rPr>
              <w:t>1.1</w:t>
            </w:r>
          </w:p>
        </w:tc>
      </w:tr>
    </w:tbl>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b/>
          <w:bCs/>
          <w:color w:val="333333"/>
          <w:kern w:val="0"/>
          <w:sz w:val="24"/>
          <w:szCs w:val="24"/>
        </w:rPr>
        <w:t xml:space="preserve">　　保险费=工程造价*基础费率之和*系数A*系数B*系数C*系数D；</w:t>
      </w:r>
    </w:p>
    <w:p w:rsidR="00C41873" w:rsidRPr="00C41873" w:rsidRDefault="00C41873" w:rsidP="00C41873">
      <w:pPr>
        <w:widowControl/>
        <w:shd w:val="clear" w:color="auto" w:fill="FFFFFF"/>
        <w:spacing w:before="100" w:beforeAutospacing="1" w:after="100" w:afterAutospacing="1" w:line="480" w:lineRule="auto"/>
        <w:jc w:val="left"/>
        <w:rPr>
          <w:rFonts w:ascii="宋体" w:eastAsia="宋体" w:hAnsi="宋体" w:cs="宋体" w:hint="eastAsia"/>
          <w:color w:val="333333"/>
          <w:kern w:val="0"/>
          <w:sz w:val="24"/>
          <w:szCs w:val="24"/>
        </w:rPr>
      </w:pPr>
      <w:r w:rsidRPr="00C41873">
        <w:rPr>
          <w:rFonts w:ascii="宋体" w:eastAsia="宋体" w:hAnsi="宋体" w:cs="宋体" w:hint="eastAsia"/>
          <w:color w:val="333333"/>
          <w:kern w:val="0"/>
          <w:sz w:val="24"/>
          <w:szCs w:val="24"/>
        </w:rPr>
        <w:t xml:space="preserve">　　若主险及附加险全部子项投保的，保险费用=工程造价*基础费率之和*系数A*系数B*系数C*系数D*0.9。</w:t>
      </w:r>
    </w:p>
    <w:p w:rsidR="00C41873" w:rsidRPr="00C41873" w:rsidRDefault="00C41873"/>
    <w:sectPr w:rsidR="00C41873" w:rsidRPr="00C418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8B5" w:rsidRDefault="007638B5" w:rsidP="00C41873">
      <w:r>
        <w:separator/>
      </w:r>
    </w:p>
  </w:endnote>
  <w:endnote w:type="continuationSeparator" w:id="1">
    <w:p w:rsidR="007638B5" w:rsidRDefault="007638B5" w:rsidP="00C418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8B5" w:rsidRDefault="007638B5" w:rsidP="00C41873">
      <w:r>
        <w:separator/>
      </w:r>
    </w:p>
  </w:footnote>
  <w:footnote w:type="continuationSeparator" w:id="1">
    <w:p w:rsidR="007638B5" w:rsidRDefault="007638B5" w:rsidP="00C418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1873"/>
    <w:rsid w:val="007638B5"/>
    <w:rsid w:val="00C418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4187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18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1873"/>
    <w:rPr>
      <w:sz w:val="18"/>
      <w:szCs w:val="18"/>
    </w:rPr>
  </w:style>
  <w:style w:type="paragraph" w:styleId="a4">
    <w:name w:val="footer"/>
    <w:basedOn w:val="a"/>
    <w:link w:val="Char0"/>
    <w:uiPriority w:val="99"/>
    <w:semiHidden/>
    <w:unhideWhenUsed/>
    <w:rsid w:val="00C418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1873"/>
    <w:rPr>
      <w:sz w:val="18"/>
      <w:szCs w:val="18"/>
    </w:rPr>
  </w:style>
  <w:style w:type="character" w:customStyle="1" w:styleId="3Char">
    <w:name w:val="标题 3 Char"/>
    <w:basedOn w:val="a0"/>
    <w:link w:val="3"/>
    <w:uiPriority w:val="9"/>
    <w:rsid w:val="00C41873"/>
    <w:rPr>
      <w:rFonts w:ascii="宋体" w:eastAsia="宋体" w:hAnsi="宋体" w:cs="宋体"/>
      <w:b/>
      <w:bCs/>
      <w:kern w:val="0"/>
      <w:sz w:val="27"/>
      <w:szCs w:val="27"/>
    </w:rPr>
  </w:style>
  <w:style w:type="paragraph" w:styleId="a5">
    <w:name w:val="Normal (Web)"/>
    <w:basedOn w:val="a"/>
    <w:uiPriority w:val="99"/>
    <w:unhideWhenUsed/>
    <w:rsid w:val="00C4187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41873"/>
    <w:rPr>
      <w:b/>
      <w:bCs/>
    </w:rPr>
  </w:style>
</w:styles>
</file>

<file path=word/webSettings.xml><?xml version="1.0" encoding="utf-8"?>
<w:webSettings xmlns:r="http://schemas.openxmlformats.org/officeDocument/2006/relationships" xmlns:w="http://schemas.openxmlformats.org/wordprocessingml/2006/main">
  <w:divs>
    <w:div w:id="7369982">
      <w:bodyDiv w:val="1"/>
      <w:marLeft w:val="0"/>
      <w:marRight w:val="0"/>
      <w:marTop w:val="0"/>
      <w:marBottom w:val="0"/>
      <w:divBdr>
        <w:top w:val="none" w:sz="0" w:space="0" w:color="auto"/>
        <w:left w:val="none" w:sz="0" w:space="0" w:color="auto"/>
        <w:bottom w:val="none" w:sz="0" w:space="0" w:color="auto"/>
        <w:right w:val="none" w:sz="0" w:space="0" w:color="auto"/>
      </w:divBdr>
      <w:divsChild>
        <w:div w:id="1770422227">
          <w:marLeft w:val="0"/>
          <w:marRight w:val="0"/>
          <w:marTop w:val="0"/>
          <w:marBottom w:val="0"/>
          <w:divBdr>
            <w:top w:val="none" w:sz="0" w:space="0" w:color="auto"/>
            <w:left w:val="none" w:sz="0" w:space="0" w:color="auto"/>
            <w:bottom w:val="none" w:sz="0" w:space="0" w:color="auto"/>
            <w:right w:val="none" w:sz="0" w:space="0" w:color="auto"/>
          </w:divBdr>
          <w:divsChild>
            <w:div w:id="1605114751">
              <w:marLeft w:val="0"/>
              <w:marRight w:val="0"/>
              <w:marTop w:val="0"/>
              <w:marBottom w:val="0"/>
              <w:divBdr>
                <w:top w:val="none" w:sz="0" w:space="0" w:color="auto"/>
                <w:left w:val="none" w:sz="0" w:space="0" w:color="auto"/>
                <w:bottom w:val="none" w:sz="0" w:space="0" w:color="auto"/>
                <w:right w:val="none" w:sz="0" w:space="0" w:color="auto"/>
              </w:divBdr>
              <w:divsChild>
                <w:div w:id="29502696">
                  <w:marLeft w:val="0"/>
                  <w:marRight w:val="0"/>
                  <w:marTop w:val="0"/>
                  <w:marBottom w:val="0"/>
                  <w:divBdr>
                    <w:top w:val="none" w:sz="0" w:space="0" w:color="auto"/>
                    <w:left w:val="none" w:sz="0" w:space="0" w:color="auto"/>
                    <w:bottom w:val="none" w:sz="0" w:space="0" w:color="auto"/>
                    <w:right w:val="none" w:sz="0" w:space="0" w:color="auto"/>
                  </w:divBdr>
                  <w:divsChild>
                    <w:div w:id="484712056">
                      <w:marLeft w:val="0"/>
                      <w:marRight w:val="0"/>
                      <w:marTop w:val="0"/>
                      <w:marBottom w:val="0"/>
                      <w:divBdr>
                        <w:top w:val="none" w:sz="0" w:space="0" w:color="auto"/>
                        <w:left w:val="none" w:sz="0" w:space="0" w:color="auto"/>
                        <w:bottom w:val="none" w:sz="0" w:space="0" w:color="auto"/>
                        <w:right w:val="none" w:sz="0" w:space="0" w:color="auto"/>
                      </w:divBdr>
                      <w:divsChild>
                        <w:div w:id="38792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651</Words>
  <Characters>3717</Characters>
  <Application>Microsoft Office Word</Application>
  <DocSecurity>0</DocSecurity>
  <Lines>30</Lines>
  <Paragraphs>8</Paragraphs>
  <ScaleCrop>false</ScaleCrop>
  <Company>Regaltec</Company>
  <LinksUpToDate>false</LinksUpToDate>
  <CharactersWithSpaces>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2021-11-19T02:09:00Z</dcterms:created>
  <dcterms:modified xsi:type="dcterms:W3CDTF">2021-11-19T02:11:00Z</dcterms:modified>
</cp:coreProperties>
</file>