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D02AFC" w:rsidRDefault="00D02AFC" w:rsidP="00D02AFC">
      <w:pPr>
        <w:jc w:val="center"/>
        <w:rPr>
          <w:rFonts w:ascii="微软雅黑" w:eastAsia="微软雅黑" w:hAnsi="微软雅黑" w:hint="eastAsia"/>
          <w:b/>
          <w:bCs/>
          <w:color w:val="0E59A4"/>
          <w:sz w:val="36"/>
          <w:szCs w:val="36"/>
        </w:rPr>
      </w:pPr>
      <w:r w:rsidRPr="00D02AFC">
        <w:rPr>
          <w:rFonts w:ascii="微软雅黑" w:eastAsia="微软雅黑" w:hAnsi="微软雅黑" w:hint="eastAsia"/>
          <w:b/>
          <w:bCs/>
          <w:color w:val="0E59A4"/>
          <w:sz w:val="36"/>
          <w:szCs w:val="36"/>
        </w:rPr>
        <w:t>佛山市南海区住房城乡建设和水利局关于建筑施工行业实施安全生产责任保险的通知</w:t>
      </w:r>
    </w:p>
    <w:p w:rsidR="00D02AFC" w:rsidRPr="00D02AFC" w:rsidRDefault="00D02AFC" w:rsidP="00D02AFC">
      <w:pPr>
        <w:spacing w:line="360" w:lineRule="auto"/>
        <w:rPr>
          <w:rFonts w:asciiTheme="minorEastAsia" w:hAnsiTheme="minorEastAsia" w:hint="eastAsia"/>
          <w:b/>
          <w:bCs/>
          <w:color w:val="0E59A4"/>
          <w:sz w:val="24"/>
          <w:szCs w:val="24"/>
        </w:rPr>
      </w:pPr>
    </w:p>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各镇（街道）城建和水利办公室，区建筑工程施工安全监督站，各建设、施工和监理企业：</w:t>
      </w:r>
    </w:p>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color w:val="333333"/>
          <w:kern w:val="0"/>
          <w:sz w:val="24"/>
          <w:szCs w:val="24"/>
        </w:rPr>
        <w:t xml:space="preserve">　　为认真贯彻国家，省和市关于推进安全生产领域改革发展决策部署，构建我区建筑施工行业更加高效的安全生产风险防控机制，落实我区建筑施工行业安全生产责任保险制度，预防和减少生产安全事故，提高企业风险抵御能力，提高行业安全管理水平，促进行业高质量发展，根据《中华人民共和国安全生产法》（2021年修订）、《国家安全监管总局 保监会 财政部关于印发〈安全生产责任保险实施办法〉的通知》(安监总办〔2017〕140号)、《广东省安全生产责任保险实施办法》（广东省人民政府令第274号）和《广东省应急管理厅广东省地方金融监管局中国银行保险监督管理委员会广东监管局关于印发〈广东省安全生产责任保险实施方案〉的通知》（粤应急规〔2021〕2号）等法律法规及文件规定，结合我区实际，现就我区建筑施工行业实施安全生产责任保险（以下简称“建工安责险”）事项通知如下：</w:t>
      </w:r>
    </w:p>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color w:val="333333"/>
          <w:kern w:val="0"/>
          <w:sz w:val="24"/>
          <w:szCs w:val="24"/>
        </w:rPr>
        <w:t xml:space="preserve">　　一、建工安责险释义</w:t>
      </w:r>
    </w:p>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color w:val="333333"/>
          <w:kern w:val="0"/>
          <w:sz w:val="24"/>
          <w:szCs w:val="24"/>
        </w:rPr>
        <w:t xml:space="preserve">　　我区建工安责险是保险机构对我区投保的房屋市政工程项目生产安全事故造成的人员伤亡和有关经济损失等予以赔偿，并且为我区建筑施工行业提供事故预防服务的强制商业保险，与工伤保险为并行关系，保险责任包括生产安全事故造成的从业人员人身伤亡赔偿、第三者人身伤亡和财产损失赔偿，以及上述产生的医疗救护、抢险救援、事故鉴定和法律服务等费用。具体详见附件。</w:t>
      </w:r>
    </w:p>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color w:val="333333"/>
          <w:kern w:val="0"/>
          <w:sz w:val="24"/>
          <w:szCs w:val="24"/>
        </w:rPr>
        <w:t xml:space="preserve">　　二、实施范围</w:t>
      </w:r>
    </w:p>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color w:val="333333"/>
          <w:kern w:val="0"/>
          <w:sz w:val="24"/>
          <w:szCs w:val="24"/>
        </w:rPr>
        <w:t xml:space="preserve">　　《安全生产法》（2021年修订）于2021年9月1日起实施，第五十一条规定，属于国家规定的高危行业、领域的生产经营单位，应当投保安全生产责任保</w:t>
      </w:r>
      <w:r w:rsidRPr="00D02AFC">
        <w:rPr>
          <w:rFonts w:asciiTheme="minorEastAsia" w:hAnsiTheme="minorEastAsia" w:cs="宋体" w:hint="eastAsia"/>
          <w:color w:val="333333"/>
          <w:kern w:val="0"/>
          <w:sz w:val="24"/>
          <w:szCs w:val="24"/>
        </w:rPr>
        <w:lastRenderedPageBreak/>
        <w:t>险。建筑施工行业属于国家规定的八大高危行业之一，自发文之日起，全区新申领施工许可的房屋建筑工程和市政基础设施工程项目，施工单位必须投保建工安责险。在本通知发文之前已申领施工许可的房屋建筑工程和市政基础设施工程项目，鼓励施工单位参照本通知投保建工安责险。</w:t>
      </w:r>
    </w:p>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color w:val="333333"/>
          <w:kern w:val="0"/>
          <w:sz w:val="24"/>
          <w:szCs w:val="24"/>
        </w:rPr>
        <w:t xml:space="preserve">　　三、承保单位</w:t>
      </w:r>
    </w:p>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color w:val="333333"/>
          <w:kern w:val="0"/>
          <w:sz w:val="24"/>
          <w:szCs w:val="24"/>
        </w:rPr>
        <w:t xml:space="preserve">　　为高效推进我区建工安责险实施落地，有效预防和减少生产安全事故，提高企业风险抵御能力，提高行业安全管理水平，促进行业高质量发展，有序推进安全事故预防服务，避免建工安责险承保展业市场恶性竞争，借鉴其他地市经验，建议施工企业向偿付和事故预防服务更有保障的共保体投保建工安责险。</w:t>
      </w:r>
    </w:p>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b/>
          <w:bCs/>
          <w:color w:val="333333"/>
          <w:kern w:val="0"/>
          <w:sz w:val="24"/>
          <w:szCs w:val="24"/>
        </w:rPr>
        <w:t xml:space="preserve">　　（一）共保体</w:t>
      </w:r>
    </w:p>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color w:val="333333"/>
          <w:kern w:val="0"/>
          <w:sz w:val="24"/>
          <w:szCs w:val="24"/>
        </w:rPr>
        <w:t xml:space="preserve">　　按照有关规定，我局通过公开招标，选定了四家保险机构组建了建工安责险共保体，可承保我区建工安责险，具体如下：</w:t>
      </w:r>
    </w:p>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color w:val="333333"/>
          <w:kern w:val="0"/>
          <w:sz w:val="24"/>
          <w:szCs w:val="24"/>
        </w:rPr>
        <w:t xml:space="preserve">　　1.首席承保人：中国人民财产保险股份有限公司广东省分公司。</w:t>
      </w:r>
    </w:p>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color w:val="333333"/>
          <w:kern w:val="0"/>
          <w:sz w:val="24"/>
          <w:szCs w:val="24"/>
        </w:rPr>
        <w:t xml:space="preserve">　　2.共保人：中国平安财产保险股份有限公司广东分公司、中国大地财产保险股份有限公司广东分公司、中华联合财产保险股份有限公司广东分公司。</w:t>
      </w:r>
    </w:p>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color w:val="333333"/>
          <w:kern w:val="0"/>
          <w:sz w:val="24"/>
          <w:szCs w:val="24"/>
        </w:rPr>
        <w:t xml:space="preserve">　　首席承保人负责建工安责险的承保、理赔和事故预防服务工作（联系电话：0757-86231276）。</w:t>
      </w:r>
    </w:p>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b/>
          <w:bCs/>
          <w:color w:val="333333"/>
          <w:kern w:val="0"/>
          <w:sz w:val="24"/>
          <w:szCs w:val="24"/>
        </w:rPr>
        <w:t xml:space="preserve">　　（二）其他独立展业的保险机构</w:t>
      </w:r>
    </w:p>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color w:val="333333"/>
          <w:kern w:val="0"/>
          <w:sz w:val="24"/>
          <w:szCs w:val="24"/>
        </w:rPr>
        <w:t xml:space="preserve">　　鉴于建工安责险对于保险机构的偿付能力和事故预防服务水平有较高的要求，除上述共保体外，其他有意向在我区承保建工安责险的保险机构，应具备商业信誉良好、偿付能力高、理赔高效等条件，并成立事故预防服务团队、制定安责险服务方案向我局报备，接受我局考核。</w:t>
      </w:r>
    </w:p>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color w:val="333333"/>
          <w:kern w:val="0"/>
          <w:sz w:val="24"/>
          <w:szCs w:val="24"/>
        </w:rPr>
        <w:t xml:space="preserve">　　四、投保方式、承保期限及费率</w:t>
      </w:r>
    </w:p>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b/>
          <w:bCs/>
          <w:color w:val="333333"/>
          <w:kern w:val="0"/>
          <w:sz w:val="24"/>
          <w:szCs w:val="24"/>
        </w:rPr>
        <w:t xml:space="preserve">　　（一）投保方式</w:t>
      </w:r>
    </w:p>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color w:val="333333"/>
          <w:kern w:val="0"/>
          <w:sz w:val="24"/>
          <w:szCs w:val="24"/>
        </w:rPr>
        <w:t xml:space="preserve">　　1.建工安责险以项目为单位，实行不记名和不计人数的方式投保；</w:t>
      </w:r>
    </w:p>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color w:val="333333"/>
          <w:kern w:val="0"/>
          <w:sz w:val="24"/>
          <w:szCs w:val="24"/>
        </w:rPr>
        <w:t xml:space="preserve">　　2.建工安责险保费由施工总承包企业以项目为单位缴纳，不得以任何形式摊派给从业人员；专业分包单位应按工程造价比例承担投保费用。</w:t>
      </w:r>
    </w:p>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b/>
          <w:bCs/>
          <w:color w:val="333333"/>
          <w:kern w:val="0"/>
          <w:sz w:val="24"/>
          <w:szCs w:val="24"/>
        </w:rPr>
        <w:t xml:space="preserve">　　（二）承保期限</w:t>
      </w:r>
    </w:p>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color w:val="333333"/>
          <w:kern w:val="0"/>
          <w:sz w:val="24"/>
          <w:szCs w:val="24"/>
        </w:rPr>
        <w:t xml:space="preserve">　　1.未开工项目，自工程项目施工许可之日起至施工许可证载竣工之日（按合同工期计算）。</w:t>
      </w:r>
    </w:p>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color w:val="333333"/>
          <w:kern w:val="0"/>
          <w:sz w:val="24"/>
          <w:szCs w:val="24"/>
        </w:rPr>
        <w:t xml:space="preserve">　　2.已开工项目，自保单生效之日起至施工许可证载竣工之日（按合同工期计算）。</w:t>
      </w:r>
    </w:p>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color w:val="333333"/>
          <w:kern w:val="0"/>
          <w:sz w:val="24"/>
          <w:szCs w:val="24"/>
        </w:rPr>
        <w:t xml:space="preserve">　　3.保险期限届满时工程未竣工的，投保人应在保险期限届满之日前30日内向保险人申请办理延期手续，延期在3个月以内，免费延期，延期超3个月的延期保费按照剩余工程造价及延期期限计算。</w:t>
      </w:r>
    </w:p>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color w:val="333333"/>
          <w:kern w:val="0"/>
          <w:sz w:val="24"/>
          <w:szCs w:val="24"/>
        </w:rPr>
        <w:t xml:space="preserve">　　4.如工程因故中止施工3个月以上的，投保人可在停工之前向保险人申请办理保单暂停手续，保单暂停期间保险公司不承担保险责任，原保险期限可顺延。</w:t>
      </w:r>
    </w:p>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b/>
          <w:bCs/>
          <w:color w:val="333333"/>
          <w:kern w:val="0"/>
          <w:sz w:val="24"/>
          <w:szCs w:val="24"/>
        </w:rPr>
        <w:t xml:space="preserve">　　（三）保险费</w:t>
      </w:r>
    </w:p>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color w:val="333333"/>
          <w:kern w:val="0"/>
          <w:sz w:val="24"/>
          <w:szCs w:val="24"/>
        </w:rPr>
        <w:t xml:space="preserve">　　保险费由主险（必选）和附加险（可选）组成，计算方式为：保险费=工程造价*基础费率之和*系数A*系数B*系数C*系数D，其中，工程造价以网签备案合同价为准，基础费率参考价和系数详见附件。</w:t>
      </w:r>
    </w:p>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color w:val="333333"/>
          <w:kern w:val="0"/>
          <w:sz w:val="24"/>
          <w:szCs w:val="24"/>
        </w:rPr>
        <w:t xml:space="preserve">　　为提高承保效率，结合其他地市经验，保险机构和投保人可根据项目实际风险情况，就费率浮动进行协商。对于屡次拒不整改隐患及其他不良行为的投保人，保险机构可适当提高费率。具体费率及费用计算方式详见附件。</w:t>
      </w:r>
    </w:p>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color w:val="333333"/>
          <w:kern w:val="0"/>
          <w:sz w:val="24"/>
          <w:szCs w:val="24"/>
        </w:rPr>
        <w:t xml:space="preserve">　　五、理赔处理</w:t>
      </w:r>
    </w:p>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color w:val="333333"/>
          <w:kern w:val="0"/>
          <w:sz w:val="24"/>
          <w:szCs w:val="24"/>
        </w:rPr>
        <w:t xml:space="preserve">　　保险机构要建立健全快速赔付机制，在事故发生后按照法律规定和合同约定，对于确定范围的，实施预先赔付；保险机构认为不属于理赔范围的，应充分说明理由；理赔条款不得设置出具政府部门相关证明材料的条件。</w:t>
      </w:r>
    </w:p>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b/>
          <w:bCs/>
          <w:color w:val="333333"/>
          <w:kern w:val="0"/>
          <w:sz w:val="24"/>
          <w:szCs w:val="24"/>
        </w:rPr>
        <w:t xml:space="preserve">　　（一）理赔程序</w:t>
      </w:r>
    </w:p>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color w:val="333333"/>
          <w:kern w:val="0"/>
          <w:sz w:val="24"/>
          <w:szCs w:val="24"/>
        </w:rPr>
        <w:t xml:space="preserve">　　1.发生安全事故后，投保企业应当在48小时内向承保机构报案。</w:t>
      </w:r>
    </w:p>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color w:val="333333"/>
          <w:kern w:val="0"/>
          <w:sz w:val="24"/>
          <w:szCs w:val="24"/>
        </w:rPr>
        <w:t xml:space="preserve">　　2.承保机构在受理报案后30分钟内，安排理赔人员进行电话回访，向被保险人一次性提供索赔资料清单；对于需要查勘现场的或现场需要协助的，保险服务人员应在2个小时内到达现场进行查勘，同时协助被保险人实施应急措施，减少损失。</w:t>
      </w:r>
    </w:p>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color w:val="333333"/>
          <w:kern w:val="0"/>
          <w:sz w:val="24"/>
          <w:szCs w:val="24"/>
        </w:rPr>
        <w:t xml:space="preserve">　　3.保险机构理赔人员初步审核单证后，如果发现资料欠缺，可以一次性提出补充资料的要求，收到齐全的索赔资料并与被保险人就赔款金额达成一致意见后，按照下列要求履行给付保险金的义务：</w:t>
      </w:r>
    </w:p>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color w:val="333333"/>
          <w:kern w:val="0"/>
          <w:sz w:val="24"/>
          <w:szCs w:val="24"/>
        </w:rPr>
        <w:t xml:space="preserve">　　（1）对于5000元以下医疗费用（不涉及住院）赔偿，可以微信提交资料，实现即时结案支付。</w:t>
      </w:r>
    </w:p>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color w:val="333333"/>
          <w:kern w:val="0"/>
          <w:sz w:val="24"/>
          <w:szCs w:val="24"/>
        </w:rPr>
        <w:t xml:space="preserve">　　（2）赔偿金额在人民币5000元-10万元（含）之间的，应在1个工作日内支付赔款。</w:t>
      </w:r>
    </w:p>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color w:val="333333"/>
          <w:kern w:val="0"/>
          <w:sz w:val="24"/>
          <w:szCs w:val="24"/>
        </w:rPr>
        <w:t xml:space="preserve">　　（3）赔偿金额在人民币10万元-100万元（含）之间的，应在2个工作日内支付赔款。</w:t>
      </w:r>
    </w:p>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color w:val="333333"/>
          <w:kern w:val="0"/>
          <w:sz w:val="24"/>
          <w:szCs w:val="24"/>
        </w:rPr>
        <w:t xml:space="preserve">　　（4）赔偿金额在人民币100万元以上的，应在3个工作日内支付赔款。</w:t>
      </w:r>
    </w:p>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b/>
          <w:bCs/>
          <w:color w:val="333333"/>
          <w:kern w:val="0"/>
          <w:sz w:val="24"/>
          <w:szCs w:val="24"/>
        </w:rPr>
        <w:t xml:space="preserve">　　（二）赔偿额度</w:t>
      </w:r>
    </w:p>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color w:val="333333"/>
          <w:kern w:val="0"/>
          <w:sz w:val="24"/>
          <w:szCs w:val="24"/>
        </w:rPr>
        <w:t xml:space="preserve">　　根据投保的险种，按照以下限额赔付：</w:t>
      </w:r>
    </w:p>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color w:val="333333"/>
          <w:kern w:val="0"/>
          <w:sz w:val="24"/>
          <w:szCs w:val="24"/>
        </w:rPr>
        <w:t xml:space="preserve">　　1.工程造价在1亿元以下工程，保单累计赔付限额2000万人民币；每次赔付限额500万。</w:t>
      </w:r>
    </w:p>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color w:val="333333"/>
          <w:kern w:val="0"/>
          <w:sz w:val="24"/>
          <w:szCs w:val="24"/>
        </w:rPr>
        <w:t xml:space="preserve">　　2.工程造价在1亿元以上工程：保单累计赔付限额5000万人民币；每次赔付限额1000万。</w:t>
      </w:r>
    </w:p>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color w:val="333333"/>
          <w:kern w:val="0"/>
          <w:sz w:val="24"/>
          <w:szCs w:val="24"/>
        </w:rPr>
        <w:t xml:space="preserve">　　六、工作要求</w:t>
      </w:r>
    </w:p>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color w:val="333333"/>
          <w:kern w:val="0"/>
          <w:sz w:val="24"/>
          <w:szCs w:val="24"/>
        </w:rPr>
        <w:t xml:space="preserve">　　（一）建设单位在编制工程预算时，应考虑增加建工安责险的费用，在发包工程项目时，应告知并督促施工企业投保建工安责险。</w:t>
      </w:r>
    </w:p>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color w:val="333333"/>
          <w:kern w:val="0"/>
          <w:sz w:val="24"/>
          <w:szCs w:val="24"/>
        </w:rPr>
        <w:t xml:space="preserve">　　（二）施工企业在承接工程项目后，应主动投保建工安责险，不得无故退保，要积极配合保险机构开展安全生产宣传教育培训、生产安全事故隐患排查和安全生产风险评估服务，并对发现的生产安全事故隐患及时进行整改。</w:t>
      </w:r>
    </w:p>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color w:val="333333"/>
          <w:kern w:val="0"/>
          <w:sz w:val="24"/>
          <w:szCs w:val="24"/>
        </w:rPr>
        <w:t xml:space="preserve">　　（三）保险机构要成立建工安责险业务团队，建立事故预防服务机构，制定服务工作方案，为所有投保企业提供专业的事故预防服务，定期向我局提交月度、季度工作报告及年度总结工作报告。保险机构要配合建设行政主管部门开展建筑施工安全管理工作，对于存在重大事故隐患或者对事故隐患整改建议拒不整改的企业，保险机构要向建设行政主管部门报告。</w:t>
      </w:r>
    </w:p>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color w:val="333333"/>
          <w:kern w:val="0"/>
          <w:sz w:val="24"/>
          <w:szCs w:val="24"/>
        </w:rPr>
        <w:t xml:space="preserve">　　（四）各镇（街道）城建和水利办、区建筑工程施工安全监督站要依法督促所属监督的工程项目投保建工安责险，对于未按要求购买建工安责险的工程项目，要及时上报，我局将根据法律法规及文件要求，对未按要求购买建工安责险的施工企业予以严肃处理。</w:t>
      </w:r>
    </w:p>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color w:val="333333"/>
          <w:kern w:val="0"/>
          <w:sz w:val="24"/>
          <w:szCs w:val="24"/>
        </w:rPr>
        <w:t xml:space="preserve">　　（五）我局将定期对承接我区建工安责险的保险机构进行考核，对于存在违规展业、事故预防服务落实不到位、保险义务履行不到位等不良行为，且不能立即改正的保险机构，我局将向有关金融监管部门通报其不良行为，向“信用南海”提供其不良信用信息，并在区建筑施工行业发布风险提醒。同时，对于继续向存在不良行为保险机构投保的工程项目，我局将予以重点监管。</w:t>
      </w:r>
    </w:p>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color w:val="333333"/>
          <w:kern w:val="0"/>
          <w:sz w:val="24"/>
          <w:szCs w:val="24"/>
        </w:rPr>
        <w:t xml:space="preserve">　　附件：保险费率和保费计算方式</w:t>
      </w:r>
    </w:p>
    <w:p w:rsidR="00D02AFC" w:rsidRPr="00D02AFC" w:rsidRDefault="00D02AFC" w:rsidP="00D02AFC">
      <w:pPr>
        <w:widowControl/>
        <w:shd w:val="clear" w:color="auto" w:fill="FFFFFF"/>
        <w:spacing w:before="100" w:beforeAutospacing="1" w:after="100" w:afterAutospacing="1" w:line="360" w:lineRule="auto"/>
        <w:jc w:val="right"/>
        <w:rPr>
          <w:rFonts w:asciiTheme="minorEastAsia" w:hAnsiTheme="minorEastAsia" w:cs="宋体" w:hint="eastAsia"/>
          <w:color w:val="333333"/>
          <w:kern w:val="0"/>
          <w:sz w:val="24"/>
          <w:szCs w:val="24"/>
        </w:rPr>
      </w:pPr>
      <w:r w:rsidRPr="00D02AFC">
        <w:rPr>
          <w:rFonts w:asciiTheme="minorEastAsia" w:hAnsiTheme="minorEastAsia" w:cs="宋体" w:hint="eastAsia"/>
          <w:color w:val="333333"/>
          <w:kern w:val="0"/>
          <w:sz w:val="24"/>
          <w:szCs w:val="24"/>
        </w:rPr>
        <w:t xml:space="preserve">　　佛山市南海区住房城乡建设和水利局</w:t>
      </w:r>
    </w:p>
    <w:p w:rsidR="00D02AFC" w:rsidRPr="00D02AFC" w:rsidRDefault="00D02AFC" w:rsidP="00D02AFC">
      <w:pPr>
        <w:widowControl/>
        <w:shd w:val="clear" w:color="auto" w:fill="FFFFFF"/>
        <w:spacing w:before="100" w:beforeAutospacing="1" w:after="100" w:afterAutospacing="1" w:line="360" w:lineRule="auto"/>
        <w:jc w:val="right"/>
        <w:rPr>
          <w:rFonts w:asciiTheme="minorEastAsia" w:hAnsiTheme="minorEastAsia" w:cs="宋体" w:hint="eastAsia"/>
          <w:color w:val="333333"/>
          <w:kern w:val="0"/>
          <w:sz w:val="24"/>
          <w:szCs w:val="24"/>
        </w:rPr>
      </w:pPr>
      <w:r w:rsidRPr="00D02AFC">
        <w:rPr>
          <w:rFonts w:asciiTheme="minorEastAsia" w:hAnsiTheme="minorEastAsia" w:cs="宋体" w:hint="eastAsia"/>
          <w:color w:val="333333"/>
          <w:kern w:val="0"/>
          <w:sz w:val="24"/>
          <w:szCs w:val="24"/>
        </w:rPr>
        <w:t xml:space="preserve">　　2021年11月18日</w:t>
      </w:r>
    </w:p>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color w:val="333333"/>
          <w:kern w:val="0"/>
          <w:sz w:val="24"/>
          <w:szCs w:val="24"/>
        </w:rPr>
        <w:t xml:space="preserve">　　附件</w:t>
      </w:r>
    </w:p>
    <w:p w:rsidR="00D02AFC" w:rsidRPr="00D02AFC" w:rsidRDefault="00D02AFC" w:rsidP="00D02AFC">
      <w:pPr>
        <w:widowControl/>
        <w:shd w:val="clear" w:color="auto" w:fill="FFFFFF"/>
        <w:spacing w:before="100" w:beforeAutospacing="1" w:after="100" w:afterAutospacing="1" w:line="360" w:lineRule="auto"/>
        <w:jc w:val="center"/>
        <w:outlineLvl w:val="2"/>
        <w:rPr>
          <w:rFonts w:asciiTheme="minorEastAsia" w:hAnsiTheme="minorEastAsia" w:cs="宋体" w:hint="eastAsia"/>
          <w:b/>
          <w:bCs/>
          <w:color w:val="333333"/>
          <w:kern w:val="0"/>
          <w:sz w:val="24"/>
          <w:szCs w:val="24"/>
        </w:rPr>
      </w:pPr>
      <w:r w:rsidRPr="00D02AFC">
        <w:rPr>
          <w:rFonts w:asciiTheme="minorEastAsia" w:hAnsiTheme="minorEastAsia" w:cs="宋体" w:hint="eastAsia"/>
          <w:b/>
          <w:bCs/>
          <w:color w:val="333333"/>
          <w:kern w:val="0"/>
          <w:sz w:val="24"/>
          <w:szCs w:val="24"/>
        </w:rPr>
        <w:t xml:space="preserve">　　保险费率和保费计算方式</w:t>
      </w:r>
    </w:p>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color w:val="333333"/>
          <w:kern w:val="0"/>
          <w:sz w:val="24"/>
          <w:szCs w:val="24"/>
        </w:rPr>
        <w:t xml:space="preserve">　　一、主险基础费率（必选）</w:t>
      </w:r>
    </w:p>
    <w:tbl>
      <w:tblPr>
        <w:tblW w:w="9496" w:type="dxa"/>
        <w:tblInd w:w="-542"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836"/>
        <w:gridCol w:w="1559"/>
        <w:gridCol w:w="3829"/>
        <w:gridCol w:w="1272"/>
      </w:tblGrid>
      <w:tr w:rsidR="005913F1" w:rsidRPr="00D02AFC" w:rsidTr="005913F1">
        <w:tc>
          <w:tcPr>
            <w:tcW w:w="1493"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D02AFC" w:rsidRPr="00D02AFC" w:rsidRDefault="00D02AFC" w:rsidP="005913F1">
            <w:pPr>
              <w:widowControl/>
              <w:spacing w:before="100" w:beforeAutospacing="1" w:after="100" w:afterAutospacing="1" w:line="360" w:lineRule="auto"/>
              <w:jc w:val="center"/>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保险责任</w:t>
            </w:r>
          </w:p>
        </w:tc>
        <w:tc>
          <w:tcPr>
            <w:tcW w:w="821"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D02AFC" w:rsidRPr="00D02AFC" w:rsidRDefault="00D02AFC" w:rsidP="005913F1">
            <w:pPr>
              <w:widowControl/>
              <w:spacing w:before="100" w:beforeAutospacing="1" w:after="100" w:afterAutospacing="1" w:line="360" w:lineRule="auto"/>
              <w:jc w:val="center"/>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限额</w:t>
            </w:r>
          </w:p>
        </w:tc>
        <w:tc>
          <w:tcPr>
            <w:tcW w:w="2016"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D02AFC" w:rsidRPr="00D02AFC" w:rsidRDefault="00D02AFC" w:rsidP="005913F1">
            <w:pPr>
              <w:widowControl/>
              <w:spacing w:before="100" w:beforeAutospacing="1" w:after="100" w:afterAutospacing="1" w:line="360" w:lineRule="auto"/>
              <w:jc w:val="center"/>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限额说明</w:t>
            </w:r>
          </w:p>
        </w:tc>
        <w:tc>
          <w:tcPr>
            <w:tcW w:w="671"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D02AFC" w:rsidRPr="00D02AFC" w:rsidRDefault="00D02AFC" w:rsidP="005913F1">
            <w:pPr>
              <w:widowControl/>
              <w:spacing w:before="100" w:beforeAutospacing="1" w:after="100" w:afterAutospacing="1" w:line="360" w:lineRule="auto"/>
              <w:jc w:val="center"/>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投保费率</w:t>
            </w:r>
          </w:p>
        </w:tc>
      </w:tr>
      <w:tr w:rsidR="005913F1" w:rsidRPr="00D02AFC" w:rsidTr="005913F1">
        <w:tc>
          <w:tcPr>
            <w:tcW w:w="1493" w:type="pct"/>
            <w:vMerge w:val="restar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color w:val="333333"/>
                <w:kern w:val="0"/>
                <w:sz w:val="24"/>
                <w:szCs w:val="24"/>
              </w:rPr>
              <w:t>从业人员、第三者死亡</w:t>
            </w:r>
          </w:p>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（其中含6档可选）</w:t>
            </w:r>
          </w:p>
        </w:tc>
        <w:tc>
          <w:tcPr>
            <w:tcW w:w="821"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50 万元/人</w:t>
            </w:r>
          </w:p>
        </w:tc>
        <w:tc>
          <w:tcPr>
            <w:tcW w:w="2016"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每人赔偿限额为 50 万元</w:t>
            </w:r>
          </w:p>
        </w:tc>
        <w:tc>
          <w:tcPr>
            <w:tcW w:w="671"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0.07%</w:t>
            </w:r>
          </w:p>
        </w:tc>
      </w:tr>
      <w:tr w:rsidR="005913F1" w:rsidRPr="00D02AFC" w:rsidTr="005913F1">
        <w:tc>
          <w:tcPr>
            <w:tcW w:w="1493" w:type="pct"/>
            <w:vMerge/>
            <w:tcBorders>
              <w:top w:val="single" w:sz="6" w:space="0" w:color="000000"/>
              <w:left w:val="single" w:sz="6" w:space="0" w:color="000000"/>
              <w:bottom w:val="single" w:sz="6" w:space="0" w:color="000000"/>
              <w:right w:val="single" w:sz="6" w:space="0" w:color="000000"/>
            </w:tcBorders>
            <w:vAlign w:val="center"/>
            <w:hideMark/>
          </w:tcPr>
          <w:p w:rsidR="00D02AFC" w:rsidRPr="00D02AFC" w:rsidRDefault="00D02AFC" w:rsidP="00D02AFC">
            <w:pPr>
              <w:widowControl/>
              <w:spacing w:line="360" w:lineRule="auto"/>
              <w:jc w:val="left"/>
              <w:rPr>
                <w:rFonts w:asciiTheme="minorEastAsia" w:hAnsiTheme="minorEastAsia" w:cs="宋体"/>
                <w:color w:val="333333"/>
                <w:kern w:val="0"/>
                <w:sz w:val="24"/>
                <w:szCs w:val="24"/>
              </w:rPr>
            </w:pPr>
          </w:p>
        </w:tc>
        <w:tc>
          <w:tcPr>
            <w:tcW w:w="821"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60 万元/人</w:t>
            </w:r>
          </w:p>
        </w:tc>
        <w:tc>
          <w:tcPr>
            <w:tcW w:w="2016"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每人赔偿限额为 60 万元</w:t>
            </w:r>
          </w:p>
        </w:tc>
        <w:tc>
          <w:tcPr>
            <w:tcW w:w="671"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0.08%</w:t>
            </w:r>
          </w:p>
        </w:tc>
      </w:tr>
      <w:tr w:rsidR="005913F1" w:rsidRPr="00D02AFC" w:rsidTr="005913F1">
        <w:tc>
          <w:tcPr>
            <w:tcW w:w="1493" w:type="pct"/>
            <w:vMerge/>
            <w:tcBorders>
              <w:top w:val="single" w:sz="6" w:space="0" w:color="000000"/>
              <w:left w:val="single" w:sz="6" w:space="0" w:color="000000"/>
              <w:bottom w:val="single" w:sz="6" w:space="0" w:color="000000"/>
              <w:right w:val="single" w:sz="6" w:space="0" w:color="000000"/>
            </w:tcBorders>
            <w:vAlign w:val="center"/>
            <w:hideMark/>
          </w:tcPr>
          <w:p w:rsidR="00D02AFC" w:rsidRPr="00D02AFC" w:rsidRDefault="00D02AFC" w:rsidP="00D02AFC">
            <w:pPr>
              <w:widowControl/>
              <w:spacing w:line="360" w:lineRule="auto"/>
              <w:jc w:val="left"/>
              <w:rPr>
                <w:rFonts w:asciiTheme="minorEastAsia" w:hAnsiTheme="minorEastAsia" w:cs="宋体"/>
                <w:color w:val="333333"/>
                <w:kern w:val="0"/>
                <w:sz w:val="24"/>
                <w:szCs w:val="24"/>
              </w:rPr>
            </w:pPr>
          </w:p>
        </w:tc>
        <w:tc>
          <w:tcPr>
            <w:tcW w:w="821"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70 万元/人</w:t>
            </w:r>
          </w:p>
        </w:tc>
        <w:tc>
          <w:tcPr>
            <w:tcW w:w="2016"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每人赔偿限额为 70 万元</w:t>
            </w:r>
          </w:p>
        </w:tc>
        <w:tc>
          <w:tcPr>
            <w:tcW w:w="671"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0.09%</w:t>
            </w:r>
          </w:p>
        </w:tc>
      </w:tr>
      <w:tr w:rsidR="005913F1" w:rsidRPr="00D02AFC" w:rsidTr="005913F1">
        <w:tc>
          <w:tcPr>
            <w:tcW w:w="1493" w:type="pct"/>
            <w:vMerge/>
            <w:tcBorders>
              <w:top w:val="single" w:sz="6" w:space="0" w:color="000000"/>
              <w:left w:val="single" w:sz="6" w:space="0" w:color="000000"/>
              <w:bottom w:val="single" w:sz="6" w:space="0" w:color="000000"/>
              <w:right w:val="single" w:sz="6" w:space="0" w:color="000000"/>
            </w:tcBorders>
            <w:vAlign w:val="center"/>
            <w:hideMark/>
          </w:tcPr>
          <w:p w:rsidR="00D02AFC" w:rsidRPr="00D02AFC" w:rsidRDefault="00D02AFC" w:rsidP="00D02AFC">
            <w:pPr>
              <w:widowControl/>
              <w:spacing w:line="360" w:lineRule="auto"/>
              <w:jc w:val="left"/>
              <w:rPr>
                <w:rFonts w:asciiTheme="minorEastAsia" w:hAnsiTheme="minorEastAsia" w:cs="宋体"/>
                <w:color w:val="333333"/>
                <w:kern w:val="0"/>
                <w:sz w:val="24"/>
                <w:szCs w:val="24"/>
              </w:rPr>
            </w:pPr>
          </w:p>
        </w:tc>
        <w:tc>
          <w:tcPr>
            <w:tcW w:w="821"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80 万元/人</w:t>
            </w:r>
          </w:p>
        </w:tc>
        <w:tc>
          <w:tcPr>
            <w:tcW w:w="2016"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每人赔偿限额为 80 万元</w:t>
            </w:r>
          </w:p>
        </w:tc>
        <w:tc>
          <w:tcPr>
            <w:tcW w:w="671"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0.1%</w:t>
            </w:r>
          </w:p>
        </w:tc>
      </w:tr>
      <w:tr w:rsidR="005913F1" w:rsidRPr="00D02AFC" w:rsidTr="005913F1">
        <w:tc>
          <w:tcPr>
            <w:tcW w:w="1493" w:type="pct"/>
            <w:vMerge/>
            <w:tcBorders>
              <w:top w:val="single" w:sz="6" w:space="0" w:color="000000"/>
              <w:left w:val="single" w:sz="6" w:space="0" w:color="000000"/>
              <w:bottom w:val="single" w:sz="6" w:space="0" w:color="000000"/>
              <w:right w:val="single" w:sz="6" w:space="0" w:color="000000"/>
            </w:tcBorders>
            <w:vAlign w:val="center"/>
            <w:hideMark/>
          </w:tcPr>
          <w:p w:rsidR="00D02AFC" w:rsidRPr="00D02AFC" w:rsidRDefault="00D02AFC" w:rsidP="00D02AFC">
            <w:pPr>
              <w:widowControl/>
              <w:spacing w:line="360" w:lineRule="auto"/>
              <w:jc w:val="left"/>
              <w:rPr>
                <w:rFonts w:asciiTheme="minorEastAsia" w:hAnsiTheme="minorEastAsia" w:cs="宋体"/>
                <w:color w:val="333333"/>
                <w:kern w:val="0"/>
                <w:sz w:val="24"/>
                <w:szCs w:val="24"/>
              </w:rPr>
            </w:pPr>
          </w:p>
        </w:tc>
        <w:tc>
          <w:tcPr>
            <w:tcW w:w="821"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90 万元/人</w:t>
            </w:r>
          </w:p>
        </w:tc>
        <w:tc>
          <w:tcPr>
            <w:tcW w:w="2016"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每人赔偿限额为 90 万元</w:t>
            </w:r>
          </w:p>
        </w:tc>
        <w:tc>
          <w:tcPr>
            <w:tcW w:w="671"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0.105%</w:t>
            </w:r>
          </w:p>
        </w:tc>
      </w:tr>
      <w:tr w:rsidR="005913F1" w:rsidRPr="00D02AFC" w:rsidTr="005913F1">
        <w:tc>
          <w:tcPr>
            <w:tcW w:w="1493" w:type="pct"/>
            <w:vMerge/>
            <w:tcBorders>
              <w:top w:val="single" w:sz="6" w:space="0" w:color="000000"/>
              <w:left w:val="single" w:sz="6" w:space="0" w:color="000000"/>
              <w:bottom w:val="single" w:sz="6" w:space="0" w:color="000000"/>
              <w:right w:val="single" w:sz="6" w:space="0" w:color="000000"/>
            </w:tcBorders>
            <w:vAlign w:val="center"/>
            <w:hideMark/>
          </w:tcPr>
          <w:p w:rsidR="00D02AFC" w:rsidRPr="00D02AFC" w:rsidRDefault="00D02AFC" w:rsidP="00D02AFC">
            <w:pPr>
              <w:widowControl/>
              <w:spacing w:line="360" w:lineRule="auto"/>
              <w:jc w:val="left"/>
              <w:rPr>
                <w:rFonts w:asciiTheme="minorEastAsia" w:hAnsiTheme="minorEastAsia" w:cs="宋体"/>
                <w:color w:val="333333"/>
                <w:kern w:val="0"/>
                <w:sz w:val="24"/>
                <w:szCs w:val="24"/>
              </w:rPr>
            </w:pPr>
          </w:p>
        </w:tc>
        <w:tc>
          <w:tcPr>
            <w:tcW w:w="821"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D02AFC" w:rsidRPr="00D02AFC" w:rsidRDefault="00D02AFC" w:rsidP="005913F1">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100万元/人</w:t>
            </w:r>
          </w:p>
        </w:tc>
        <w:tc>
          <w:tcPr>
            <w:tcW w:w="2016"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每人赔偿限额为100 万元</w:t>
            </w:r>
          </w:p>
        </w:tc>
        <w:tc>
          <w:tcPr>
            <w:tcW w:w="671"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0.11%</w:t>
            </w:r>
          </w:p>
        </w:tc>
      </w:tr>
      <w:tr w:rsidR="005913F1" w:rsidRPr="00D02AFC" w:rsidTr="005913F1">
        <w:tc>
          <w:tcPr>
            <w:tcW w:w="1493"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事故抢险救援及医疗救护费用保障</w:t>
            </w:r>
          </w:p>
        </w:tc>
        <w:tc>
          <w:tcPr>
            <w:tcW w:w="821"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10 万元</w:t>
            </w:r>
          </w:p>
        </w:tc>
        <w:tc>
          <w:tcPr>
            <w:tcW w:w="2016"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按实际发生费用在每次事故限额内赔偿</w:t>
            </w:r>
          </w:p>
        </w:tc>
        <w:tc>
          <w:tcPr>
            <w:tcW w:w="671" w:type="pct"/>
            <w:vMerge w:val="restar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0.01%</w:t>
            </w:r>
          </w:p>
        </w:tc>
      </w:tr>
      <w:tr w:rsidR="005913F1" w:rsidRPr="00D02AFC" w:rsidTr="005913F1">
        <w:tc>
          <w:tcPr>
            <w:tcW w:w="1493"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每次事故及累计事故鉴定费用责任限额</w:t>
            </w:r>
          </w:p>
        </w:tc>
        <w:tc>
          <w:tcPr>
            <w:tcW w:w="821"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10万元</w:t>
            </w:r>
          </w:p>
        </w:tc>
        <w:tc>
          <w:tcPr>
            <w:tcW w:w="2016"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按实际发生费用在每次事故限额内赔偿</w:t>
            </w:r>
          </w:p>
        </w:tc>
        <w:tc>
          <w:tcPr>
            <w:tcW w:w="671" w:type="pct"/>
            <w:vMerge/>
            <w:tcBorders>
              <w:top w:val="single" w:sz="6" w:space="0" w:color="000000"/>
              <w:left w:val="single" w:sz="6" w:space="0" w:color="000000"/>
              <w:bottom w:val="single" w:sz="6" w:space="0" w:color="000000"/>
              <w:right w:val="single" w:sz="6" w:space="0" w:color="000000"/>
            </w:tcBorders>
            <w:vAlign w:val="center"/>
            <w:hideMark/>
          </w:tcPr>
          <w:p w:rsidR="00D02AFC" w:rsidRPr="00D02AFC" w:rsidRDefault="00D02AFC" w:rsidP="00D02AFC">
            <w:pPr>
              <w:widowControl/>
              <w:spacing w:line="360" w:lineRule="auto"/>
              <w:jc w:val="left"/>
              <w:rPr>
                <w:rFonts w:asciiTheme="minorEastAsia" w:hAnsiTheme="minorEastAsia" w:cs="宋体"/>
                <w:color w:val="333333"/>
                <w:kern w:val="0"/>
                <w:sz w:val="24"/>
                <w:szCs w:val="24"/>
              </w:rPr>
            </w:pPr>
          </w:p>
        </w:tc>
      </w:tr>
      <w:tr w:rsidR="005913F1" w:rsidRPr="00D02AFC" w:rsidTr="005913F1">
        <w:tc>
          <w:tcPr>
            <w:tcW w:w="1493"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每次事故及累计法律费用责任限额</w:t>
            </w:r>
          </w:p>
        </w:tc>
        <w:tc>
          <w:tcPr>
            <w:tcW w:w="821"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累积责任限额的5%</w:t>
            </w:r>
          </w:p>
        </w:tc>
        <w:tc>
          <w:tcPr>
            <w:tcW w:w="2016"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按实际发生费用在每次事故限额内赔偿</w:t>
            </w:r>
          </w:p>
        </w:tc>
        <w:tc>
          <w:tcPr>
            <w:tcW w:w="671" w:type="pct"/>
            <w:vMerge/>
            <w:tcBorders>
              <w:top w:val="single" w:sz="6" w:space="0" w:color="000000"/>
              <w:left w:val="single" w:sz="6" w:space="0" w:color="000000"/>
              <w:bottom w:val="single" w:sz="6" w:space="0" w:color="000000"/>
              <w:right w:val="single" w:sz="6" w:space="0" w:color="000000"/>
            </w:tcBorders>
            <w:vAlign w:val="center"/>
            <w:hideMark/>
          </w:tcPr>
          <w:p w:rsidR="00D02AFC" w:rsidRPr="00D02AFC" w:rsidRDefault="00D02AFC" w:rsidP="00D02AFC">
            <w:pPr>
              <w:widowControl/>
              <w:spacing w:line="360" w:lineRule="auto"/>
              <w:jc w:val="left"/>
              <w:rPr>
                <w:rFonts w:asciiTheme="minorEastAsia" w:hAnsiTheme="minorEastAsia" w:cs="宋体"/>
                <w:color w:val="333333"/>
                <w:kern w:val="0"/>
                <w:sz w:val="24"/>
                <w:szCs w:val="24"/>
              </w:rPr>
            </w:pPr>
          </w:p>
        </w:tc>
      </w:tr>
    </w:tbl>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color w:val="333333"/>
          <w:kern w:val="0"/>
          <w:sz w:val="24"/>
          <w:szCs w:val="24"/>
        </w:rPr>
        <w:t xml:space="preserve">　　二、附加险基础费率（可选）</w:t>
      </w:r>
    </w:p>
    <w:tbl>
      <w:tblPr>
        <w:tblW w:w="10164" w:type="dxa"/>
        <w:tblCellMar>
          <w:top w:w="15" w:type="dxa"/>
          <w:left w:w="15" w:type="dxa"/>
          <w:bottom w:w="15" w:type="dxa"/>
          <w:right w:w="15" w:type="dxa"/>
        </w:tblCellMar>
        <w:tblLook w:val="04A0"/>
      </w:tblPr>
      <w:tblGrid>
        <w:gridCol w:w="2610"/>
        <w:gridCol w:w="2220"/>
        <w:gridCol w:w="4106"/>
        <w:gridCol w:w="1228"/>
      </w:tblGrid>
      <w:tr w:rsidR="00D02AFC" w:rsidRPr="00D02AFC" w:rsidTr="00D02AFC">
        <w:tc>
          <w:tcPr>
            <w:tcW w:w="1283" w:type="pct"/>
            <w:tcBorders>
              <w:top w:val="single" w:sz="8" w:space="0" w:color="000000"/>
              <w:left w:val="single" w:sz="8" w:space="0" w:color="000000"/>
              <w:bottom w:val="single" w:sz="8" w:space="0" w:color="000000"/>
              <w:right w:val="single" w:sz="8" w:space="0" w:color="000000"/>
            </w:tcBorders>
            <w:tcMar>
              <w:top w:w="84" w:type="dxa"/>
              <w:left w:w="117" w:type="dxa"/>
              <w:bottom w:w="84" w:type="dxa"/>
              <w:right w:w="11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b/>
                <w:bCs/>
                <w:color w:val="333333"/>
                <w:kern w:val="0"/>
                <w:sz w:val="24"/>
                <w:szCs w:val="24"/>
              </w:rPr>
              <w:t>保险责任</w:t>
            </w:r>
          </w:p>
        </w:tc>
        <w:tc>
          <w:tcPr>
            <w:tcW w:w="1092" w:type="pct"/>
            <w:tcBorders>
              <w:top w:val="single" w:sz="8" w:space="0" w:color="000000"/>
              <w:left w:val="nil"/>
              <w:bottom w:val="single" w:sz="8" w:space="0" w:color="000000"/>
              <w:right w:val="single" w:sz="8" w:space="0" w:color="000000"/>
            </w:tcBorders>
            <w:tcMar>
              <w:top w:w="84" w:type="dxa"/>
              <w:left w:w="117" w:type="dxa"/>
              <w:bottom w:w="84" w:type="dxa"/>
              <w:right w:w="11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b/>
                <w:bCs/>
                <w:color w:val="333333"/>
                <w:kern w:val="0"/>
                <w:sz w:val="24"/>
                <w:szCs w:val="24"/>
              </w:rPr>
              <w:t>限额</w:t>
            </w:r>
          </w:p>
        </w:tc>
        <w:tc>
          <w:tcPr>
            <w:tcW w:w="2019" w:type="pct"/>
            <w:tcBorders>
              <w:top w:val="single" w:sz="8" w:space="0" w:color="000000"/>
              <w:left w:val="nil"/>
              <w:bottom w:val="single" w:sz="8" w:space="0" w:color="000000"/>
              <w:right w:val="single" w:sz="8" w:space="0" w:color="000000"/>
            </w:tcBorders>
            <w:tcMar>
              <w:top w:w="84" w:type="dxa"/>
              <w:left w:w="117" w:type="dxa"/>
              <w:bottom w:w="84" w:type="dxa"/>
              <w:right w:w="11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b/>
                <w:bCs/>
                <w:color w:val="333333"/>
                <w:kern w:val="0"/>
                <w:sz w:val="24"/>
                <w:szCs w:val="24"/>
              </w:rPr>
              <w:t>限额说明</w:t>
            </w:r>
          </w:p>
        </w:tc>
        <w:tc>
          <w:tcPr>
            <w:tcW w:w="604" w:type="pct"/>
            <w:tcBorders>
              <w:top w:val="single" w:sz="8" w:space="0" w:color="000000"/>
              <w:left w:val="nil"/>
              <w:bottom w:val="single" w:sz="8" w:space="0" w:color="000000"/>
              <w:right w:val="single" w:sz="8" w:space="0" w:color="000000"/>
            </w:tcBorders>
            <w:tcMar>
              <w:top w:w="84" w:type="dxa"/>
              <w:left w:w="117" w:type="dxa"/>
              <w:bottom w:w="84" w:type="dxa"/>
              <w:right w:w="11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b/>
                <w:bCs/>
                <w:color w:val="333333"/>
                <w:kern w:val="0"/>
                <w:sz w:val="24"/>
                <w:szCs w:val="24"/>
              </w:rPr>
              <w:t>基础费率</w:t>
            </w:r>
          </w:p>
        </w:tc>
      </w:tr>
      <w:tr w:rsidR="00D02AFC" w:rsidRPr="00D02AFC" w:rsidTr="00D02AFC">
        <w:tc>
          <w:tcPr>
            <w:tcW w:w="2612" w:type="dxa"/>
            <w:vMerge w:val="restart"/>
            <w:tcBorders>
              <w:top w:val="nil"/>
              <w:left w:val="single" w:sz="8" w:space="0" w:color="000000"/>
              <w:bottom w:val="single" w:sz="8" w:space="0" w:color="000000"/>
              <w:right w:val="single" w:sz="8" w:space="0" w:color="000000"/>
            </w:tcBorders>
            <w:tcMar>
              <w:top w:w="84" w:type="dxa"/>
              <w:left w:w="117" w:type="dxa"/>
              <w:bottom w:w="84" w:type="dxa"/>
              <w:right w:w="117" w:type="dxa"/>
            </w:tcMa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从业人员、</w:t>
            </w:r>
            <w:r w:rsidRPr="00D02AFC">
              <w:rPr>
                <w:rFonts w:asciiTheme="minorEastAsia" w:hAnsiTheme="minorEastAsia" w:cs="宋体" w:hint="eastAsia"/>
                <w:color w:val="333333"/>
                <w:kern w:val="0"/>
                <w:sz w:val="24"/>
                <w:szCs w:val="24"/>
              </w:rPr>
              <w:br/>
              <w:t>第三者伤残</w:t>
            </w:r>
            <w:r w:rsidRPr="00D02AFC">
              <w:rPr>
                <w:rFonts w:asciiTheme="minorEastAsia" w:hAnsiTheme="minorEastAsia" w:cs="宋体" w:hint="eastAsia"/>
                <w:color w:val="333333"/>
                <w:kern w:val="0"/>
                <w:sz w:val="24"/>
                <w:szCs w:val="24"/>
              </w:rPr>
              <w:br/>
              <w:t>（从业人员与第三者责任限额一致其中含2档可选）</w:t>
            </w:r>
          </w:p>
        </w:tc>
        <w:tc>
          <w:tcPr>
            <w:tcW w:w="2227" w:type="dxa"/>
            <w:tcBorders>
              <w:top w:val="nil"/>
              <w:left w:val="nil"/>
              <w:bottom w:val="single" w:sz="8" w:space="0" w:color="000000"/>
              <w:right w:val="single" w:sz="8" w:space="0" w:color="000000"/>
            </w:tcBorders>
            <w:tcMar>
              <w:top w:w="84" w:type="dxa"/>
              <w:left w:w="117" w:type="dxa"/>
              <w:bottom w:w="84" w:type="dxa"/>
              <w:right w:w="11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30 万元/人</w:t>
            </w:r>
          </w:p>
        </w:tc>
        <w:tc>
          <w:tcPr>
            <w:tcW w:w="4102" w:type="dxa"/>
            <w:tcBorders>
              <w:top w:val="nil"/>
              <w:left w:val="nil"/>
              <w:bottom w:val="single" w:sz="8" w:space="0" w:color="000000"/>
              <w:right w:val="single" w:sz="8" w:space="0" w:color="000000"/>
            </w:tcBorders>
            <w:tcMar>
              <w:top w:w="84" w:type="dxa"/>
              <w:left w:w="117" w:type="dxa"/>
              <w:bottom w:w="84" w:type="dxa"/>
              <w:right w:w="11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每人赔偿限额为30万元</w:t>
            </w:r>
          </w:p>
        </w:tc>
        <w:tc>
          <w:tcPr>
            <w:tcW w:w="1222" w:type="dxa"/>
            <w:tcBorders>
              <w:top w:val="nil"/>
              <w:left w:val="nil"/>
              <w:bottom w:val="single" w:sz="8" w:space="0" w:color="000000"/>
              <w:right w:val="single" w:sz="8" w:space="0" w:color="000000"/>
            </w:tcBorders>
            <w:tcMar>
              <w:top w:w="84" w:type="dxa"/>
              <w:left w:w="117" w:type="dxa"/>
              <w:bottom w:w="84" w:type="dxa"/>
              <w:right w:w="11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0.02%</w:t>
            </w:r>
          </w:p>
        </w:tc>
      </w:tr>
      <w:tr w:rsidR="00D02AFC" w:rsidRPr="00D02AFC" w:rsidTr="00D02AFC">
        <w:tc>
          <w:tcPr>
            <w:tcW w:w="0" w:type="auto"/>
            <w:vMerge/>
            <w:tcBorders>
              <w:top w:val="nil"/>
              <w:left w:val="single" w:sz="8" w:space="0" w:color="000000"/>
              <w:bottom w:val="single" w:sz="8" w:space="0" w:color="000000"/>
              <w:right w:val="single" w:sz="8" w:space="0" w:color="000000"/>
            </w:tcBorders>
            <w:vAlign w:val="center"/>
            <w:hideMark/>
          </w:tcPr>
          <w:p w:rsidR="00D02AFC" w:rsidRPr="00D02AFC" w:rsidRDefault="00D02AFC" w:rsidP="00D02AFC">
            <w:pPr>
              <w:widowControl/>
              <w:spacing w:line="360" w:lineRule="auto"/>
              <w:jc w:val="left"/>
              <w:rPr>
                <w:rFonts w:asciiTheme="minorEastAsia" w:hAnsiTheme="minorEastAsia" w:cs="宋体"/>
                <w:color w:val="333333"/>
                <w:kern w:val="0"/>
                <w:sz w:val="24"/>
                <w:szCs w:val="24"/>
              </w:rPr>
            </w:pPr>
          </w:p>
        </w:tc>
        <w:tc>
          <w:tcPr>
            <w:tcW w:w="2227" w:type="dxa"/>
            <w:tcBorders>
              <w:top w:val="nil"/>
              <w:left w:val="nil"/>
              <w:bottom w:val="single" w:sz="8" w:space="0" w:color="000000"/>
              <w:right w:val="single" w:sz="8" w:space="0" w:color="000000"/>
            </w:tcBorders>
            <w:tcMar>
              <w:top w:w="84" w:type="dxa"/>
              <w:left w:w="117" w:type="dxa"/>
              <w:bottom w:w="84" w:type="dxa"/>
              <w:right w:w="11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60万元/人</w:t>
            </w:r>
          </w:p>
        </w:tc>
        <w:tc>
          <w:tcPr>
            <w:tcW w:w="4102" w:type="dxa"/>
            <w:tcBorders>
              <w:top w:val="nil"/>
              <w:left w:val="nil"/>
              <w:bottom w:val="single" w:sz="8" w:space="0" w:color="000000"/>
              <w:right w:val="single" w:sz="8" w:space="0" w:color="000000"/>
            </w:tcBorders>
            <w:tcMar>
              <w:top w:w="84" w:type="dxa"/>
              <w:left w:w="117" w:type="dxa"/>
              <w:bottom w:w="84" w:type="dxa"/>
              <w:right w:w="11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每人赔偿限额为60万元</w:t>
            </w:r>
          </w:p>
        </w:tc>
        <w:tc>
          <w:tcPr>
            <w:tcW w:w="1222" w:type="dxa"/>
            <w:tcBorders>
              <w:top w:val="nil"/>
              <w:left w:val="nil"/>
              <w:bottom w:val="single" w:sz="8" w:space="0" w:color="000000"/>
              <w:right w:val="single" w:sz="8" w:space="0" w:color="000000"/>
            </w:tcBorders>
            <w:tcMar>
              <w:top w:w="84" w:type="dxa"/>
              <w:left w:w="117" w:type="dxa"/>
              <w:bottom w:w="84" w:type="dxa"/>
              <w:right w:w="11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0.04%</w:t>
            </w:r>
          </w:p>
        </w:tc>
      </w:tr>
      <w:tr w:rsidR="00D02AFC" w:rsidRPr="00D02AFC" w:rsidTr="00D02AFC">
        <w:tc>
          <w:tcPr>
            <w:tcW w:w="2612" w:type="dxa"/>
            <w:tcBorders>
              <w:top w:val="nil"/>
              <w:left w:val="single" w:sz="8" w:space="0" w:color="000000"/>
              <w:bottom w:val="single" w:sz="8" w:space="0" w:color="000000"/>
              <w:right w:val="single" w:sz="8" w:space="0" w:color="000000"/>
            </w:tcBorders>
            <w:tcMar>
              <w:top w:w="84" w:type="dxa"/>
              <w:left w:w="117" w:type="dxa"/>
              <w:bottom w:w="84" w:type="dxa"/>
              <w:right w:w="117" w:type="dxa"/>
            </w:tcMa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color w:val="333333"/>
                <w:kern w:val="0"/>
                <w:sz w:val="24"/>
                <w:szCs w:val="24"/>
              </w:rPr>
              <w:t>从业人员、</w:t>
            </w:r>
          </w:p>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第三者医疗费用</w:t>
            </w:r>
          </w:p>
        </w:tc>
        <w:tc>
          <w:tcPr>
            <w:tcW w:w="2227" w:type="dxa"/>
            <w:tcBorders>
              <w:top w:val="nil"/>
              <w:left w:val="nil"/>
              <w:bottom w:val="single" w:sz="8" w:space="0" w:color="000000"/>
              <w:right w:val="single" w:sz="8" w:space="0" w:color="000000"/>
            </w:tcBorders>
            <w:tcMar>
              <w:top w:w="84" w:type="dxa"/>
              <w:left w:w="117" w:type="dxa"/>
              <w:bottom w:w="84" w:type="dxa"/>
              <w:right w:w="11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5 万元/人</w:t>
            </w:r>
          </w:p>
        </w:tc>
        <w:tc>
          <w:tcPr>
            <w:tcW w:w="4102" w:type="dxa"/>
            <w:tcBorders>
              <w:top w:val="nil"/>
              <w:left w:val="nil"/>
              <w:bottom w:val="single" w:sz="8" w:space="0" w:color="000000"/>
              <w:right w:val="single" w:sz="8" w:space="0" w:color="000000"/>
            </w:tcBorders>
            <w:tcMar>
              <w:top w:w="84" w:type="dxa"/>
              <w:left w:w="117" w:type="dxa"/>
              <w:bottom w:w="84" w:type="dxa"/>
              <w:right w:w="11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每人赔偿限额为 5 万元</w:t>
            </w:r>
          </w:p>
        </w:tc>
        <w:tc>
          <w:tcPr>
            <w:tcW w:w="1222" w:type="dxa"/>
            <w:tcBorders>
              <w:top w:val="nil"/>
              <w:left w:val="nil"/>
              <w:bottom w:val="single" w:sz="8" w:space="0" w:color="000000"/>
              <w:right w:val="single" w:sz="8" w:space="0" w:color="000000"/>
            </w:tcBorders>
            <w:tcMar>
              <w:top w:w="84" w:type="dxa"/>
              <w:left w:w="117" w:type="dxa"/>
              <w:bottom w:w="84" w:type="dxa"/>
              <w:right w:w="11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0.03%</w:t>
            </w:r>
          </w:p>
        </w:tc>
      </w:tr>
      <w:tr w:rsidR="00D02AFC" w:rsidRPr="00D02AFC" w:rsidTr="00D02AFC">
        <w:tc>
          <w:tcPr>
            <w:tcW w:w="2612" w:type="dxa"/>
            <w:tcBorders>
              <w:top w:val="nil"/>
              <w:left w:val="single" w:sz="8" w:space="0" w:color="000000"/>
              <w:bottom w:val="single" w:sz="8" w:space="0" w:color="000000"/>
              <w:right w:val="single" w:sz="8" w:space="0" w:color="000000"/>
            </w:tcBorders>
            <w:tcMar>
              <w:top w:w="84" w:type="dxa"/>
              <w:left w:w="117" w:type="dxa"/>
              <w:bottom w:w="84" w:type="dxa"/>
              <w:right w:w="11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第三者直接财产损失</w:t>
            </w:r>
          </w:p>
        </w:tc>
        <w:tc>
          <w:tcPr>
            <w:tcW w:w="2227" w:type="dxa"/>
            <w:tcBorders>
              <w:top w:val="nil"/>
              <w:left w:val="nil"/>
              <w:bottom w:val="single" w:sz="8" w:space="0" w:color="000000"/>
              <w:right w:val="single" w:sz="8" w:space="0" w:color="000000"/>
            </w:tcBorders>
            <w:tcMar>
              <w:top w:w="84" w:type="dxa"/>
              <w:left w:w="117" w:type="dxa"/>
              <w:bottom w:w="84" w:type="dxa"/>
              <w:right w:w="11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10万元/人</w:t>
            </w:r>
          </w:p>
        </w:tc>
        <w:tc>
          <w:tcPr>
            <w:tcW w:w="4102" w:type="dxa"/>
            <w:tcBorders>
              <w:top w:val="nil"/>
              <w:left w:val="nil"/>
              <w:bottom w:val="single" w:sz="8" w:space="0" w:color="000000"/>
              <w:right w:val="single" w:sz="8" w:space="0" w:color="000000"/>
            </w:tcBorders>
            <w:tcMar>
              <w:top w:w="84" w:type="dxa"/>
              <w:left w:w="117" w:type="dxa"/>
              <w:bottom w:w="84" w:type="dxa"/>
              <w:right w:w="11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仅限施工区域内。保单累计及每次事故赔偿限额10万元，同时投保伤残及医疗附加险的，免费扩展，不单独投保。</w:t>
            </w:r>
          </w:p>
        </w:tc>
        <w:tc>
          <w:tcPr>
            <w:tcW w:w="1222" w:type="dxa"/>
            <w:tcBorders>
              <w:top w:val="nil"/>
              <w:left w:val="nil"/>
              <w:bottom w:val="single" w:sz="8" w:space="0" w:color="000000"/>
              <w:right w:val="single" w:sz="8" w:space="0" w:color="000000"/>
            </w:tcBorders>
            <w:tcMar>
              <w:top w:w="84" w:type="dxa"/>
              <w:left w:w="117" w:type="dxa"/>
              <w:bottom w:w="84" w:type="dxa"/>
              <w:right w:w="11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w:t>
            </w:r>
          </w:p>
        </w:tc>
      </w:tr>
    </w:tbl>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color w:val="333333"/>
          <w:kern w:val="0"/>
          <w:sz w:val="24"/>
          <w:szCs w:val="24"/>
        </w:rPr>
        <w:t xml:space="preserve">　　三、计算方式</w:t>
      </w:r>
    </w:p>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b/>
          <w:bCs/>
          <w:color w:val="333333"/>
          <w:kern w:val="0"/>
          <w:sz w:val="24"/>
          <w:szCs w:val="24"/>
        </w:rPr>
        <w:t xml:space="preserve">　　（一）工期调整系数A</w:t>
      </w:r>
    </w:p>
    <w:tbl>
      <w:tblPr>
        <w:tblW w:w="9293" w:type="dxa"/>
        <w:tblCellMar>
          <w:top w:w="15" w:type="dxa"/>
          <w:left w:w="15" w:type="dxa"/>
          <w:bottom w:w="15" w:type="dxa"/>
          <w:right w:w="15" w:type="dxa"/>
        </w:tblCellMar>
        <w:tblLook w:val="04A0"/>
      </w:tblPr>
      <w:tblGrid>
        <w:gridCol w:w="5217"/>
        <w:gridCol w:w="4076"/>
      </w:tblGrid>
      <w:tr w:rsidR="00D02AFC" w:rsidRPr="00D02AFC" w:rsidTr="00D02AFC">
        <w:tc>
          <w:tcPr>
            <w:tcW w:w="2806" w:type="pct"/>
            <w:tcBorders>
              <w:top w:val="single" w:sz="8" w:space="0" w:color="000000"/>
              <w:left w:val="single" w:sz="8" w:space="0" w:color="000000"/>
              <w:bottom w:val="single" w:sz="8" w:space="0" w:color="000000"/>
              <w:right w:val="single" w:sz="8" w:space="0" w:color="000000"/>
            </w:tcBorders>
            <w:tcMar>
              <w:top w:w="84" w:type="dxa"/>
              <w:left w:w="117" w:type="dxa"/>
              <w:bottom w:w="84" w:type="dxa"/>
              <w:right w:w="117" w:type="dxa"/>
            </w:tcMa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工期</w:t>
            </w:r>
          </w:p>
        </w:tc>
        <w:tc>
          <w:tcPr>
            <w:tcW w:w="2193" w:type="pct"/>
            <w:tcBorders>
              <w:top w:val="single" w:sz="8" w:space="0" w:color="000000"/>
              <w:left w:val="nil"/>
              <w:bottom w:val="single" w:sz="8" w:space="0" w:color="000000"/>
              <w:right w:val="single" w:sz="8" w:space="0" w:color="000000"/>
            </w:tcBorders>
            <w:tcMar>
              <w:top w:w="84" w:type="dxa"/>
              <w:left w:w="117" w:type="dxa"/>
              <w:bottom w:w="84" w:type="dxa"/>
              <w:right w:w="117" w:type="dxa"/>
            </w:tcMa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系数</w:t>
            </w:r>
          </w:p>
        </w:tc>
      </w:tr>
      <w:tr w:rsidR="00D02AFC" w:rsidRPr="00D02AFC" w:rsidTr="00D02AFC">
        <w:tc>
          <w:tcPr>
            <w:tcW w:w="5207" w:type="dxa"/>
            <w:tcBorders>
              <w:top w:val="nil"/>
              <w:left w:val="single" w:sz="8" w:space="0" w:color="000000"/>
              <w:bottom w:val="single" w:sz="8" w:space="0" w:color="000000"/>
              <w:right w:val="single" w:sz="8" w:space="0" w:color="000000"/>
            </w:tcBorders>
            <w:tcMar>
              <w:top w:w="84" w:type="dxa"/>
              <w:left w:w="117" w:type="dxa"/>
              <w:bottom w:w="84" w:type="dxa"/>
              <w:right w:w="117" w:type="dxa"/>
            </w:tcMa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1-12个月</w:t>
            </w:r>
          </w:p>
        </w:tc>
        <w:tc>
          <w:tcPr>
            <w:tcW w:w="4069" w:type="dxa"/>
            <w:tcBorders>
              <w:top w:val="nil"/>
              <w:left w:val="nil"/>
              <w:bottom w:val="single" w:sz="8" w:space="0" w:color="000000"/>
              <w:right w:val="single" w:sz="8" w:space="0" w:color="000000"/>
            </w:tcBorders>
            <w:tcMar>
              <w:top w:w="84" w:type="dxa"/>
              <w:left w:w="117" w:type="dxa"/>
              <w:bottom w:w="84" w:type="dxa"/>
              <w:right w:w="117" w:type="dxa"/>
            </w:tcMa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0.9</w:t>
            </w:r>
          </w:p>
        </w:tc>
      </w:tr>
      <w:tr w:rsidR="00D02AFC" w:rsidRPr="00D02AFC" w:rsidTr="00D02AFC">
        <w:tc>
          <w:tcPr>
            <w:tcW w:w="5207" w:type="dxa"/>
            <w:tcBorders>
              <w:top w:val="nil"/>
              <w:left w:val="single" w:sz="8" w:space="0" w:color="000000"/>
              <w:bottom w:val="single" w:sz="8" w:space="0" w:color="000000"/>
              <w:right w:val="single" w:sz="8" w:space="0" w:color="000000"/>
            </w:tcBorders>
            <w:tcMar>
              <w:top w:w="84" w:type="dxa"/>
              <w:left w:w="117" w:type="dxa"/>
              <w:bottom w:w="84" w:type="dxa"/>
              <w:right w:w="117" w:type="dxa"/>
            </w:tcMa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13-24个月</w:t>
            </w:r>
          </w:p>
        </w:tc>
        <w:tc>
          <w:tcPr>
            <w:tcW w:w="4069" w:type="dxa"/>
            <w:tcBorders>
              <w:top w:val="nil"/>
              <w:left w:val="nil"/>
              <w:bottom w:val="single" w:sz="8" w:space="0" w:color="000000"/>
              <w:right w:val="single" w:sz="8" w:space="0" w:color="000000"/>
            </w:tcBorders>
            <w:tcMar>
              <w:top w:w="84" w:type="dxa"/>
              <w:left w:w="117" w:type="dxa"/>
              <w:bottom w:w="84" w:type="dxa"/>
              <w:right w:w="117" w:type="dxa"/>
            </w:tcMa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0.95</w:t>
            </w:r>
          </w:p>
        </w:tc>
      </w:tr>
      <w:tr w:rsidR="00D02AFC" w:rsidRPr="00D02AFC" w:rsidTr="00D02AFC">
        <w:tc>
          <w:tcPr>
            <w:tcW w:w="5207" w:type="dxa"/>
            <w:tcBorders>
              <w:top w:val="nil"/>
              <w:left w:val="single" w:sz="8" w:space="0" w:color="000000"/>
              <w:bottom w:val="single" w:sz="8" w:space="0" w:color="000000"/>
              <w:right w:val="single" w:sz="8" w:space="0" w:color="000000"/>
            </w:tcBorders>
            <w:tcMar>
              <w:top w:w="84" w:type="dxa"/>
              <w:left w:w="117" w:type="dxa"/>
              <w:bottom w:w="84" w:type="dxa"/>
              <w:right w:w="117" w:type="dxa"/>
            </w:tcMa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25-36个月</w:t>
            </w:r>
          </w:p>
        </w:tc>
        <w:tc>
          <w:tcPr>
            <w:tcW w:w="4069" w:type="dxa"/>
            <w:tcBorders>
              <w:top w:val="nil"/>
              <w:left w:val="nil"/>
              <w:bottom w:val="single" w:sz="8" w:space="0" w:color="000000"/>
              <w:right w:val="single" w:sz="8" w:space="0" w:color="000000"/>
            </w:tcBorders>
            <w:tcMar>
              <w:top w:w="84" w:type="dxa"/>
              <w:left w:w="117" w:type="dxa"/>
              <w:bottom w:w="84" w:type="dxa"/>
              <w:right w:w="117" w:type="dxa"/>
            </w:tcMa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1</w:t>
            </w:r>
          </w:p>
        </w:tc>
      </w:tr>
      <w:tr w:rsidR="00D02AFC" w:rsidRPr="00D02AFC" w:rsidTr="00D02AFC">
        <w:tc>
          <w:tcPr>
            <w:tcW w:w="5207" w:type="dxa"/>
            <w:tcBorders>
              <w:top w:val="nil"/>
              <w:left w:val="single" w:sz="8" w:space="0" w:color="000000"/>
              <w:bottom w:val="single" w:sz="8" w:space="0" w:color="000000"/>
              <w:right w:val="single" w:sz="8" w:space="0" w:color="000000"/>
            </w:tcBorders>
            <w:tcMar>
              <w:top w:w="84" w:type="dxa"/>
              <w:left w:w="117" w:type="dxa"/>
              <w:bottom w:w="84" w:type="dxa"/>
              <w:right w:w="117" w:type="dxa"/>
            </w:tcMa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37个月-60个月</w:t>
            </w:r>
          </w:p>
        </w:tc>
        <w:tc>
          <w:tcPr>
            <w:tcW w:w="4069" w:type="dxa"/>
            <w:tcBorders>
              <w:top w:val="nil"/>
              <w:left w:val="nil"/>
              <w:bottom w:val="single" w:sz="8" w:space="0" w:color="000000"/>
              <w:right w:val="single" w:sz="8" w:space="0" w:color="000000"/>
            </w:tcBorders>
            <w:tcMar>
              <w:top w:w="84" w:type="dxa"/>
              <w:left w:w="117" w:type="dxa"/>
              <w:bottom w:w="84" w:type="dxa"/>
              <w:right w:w="117" w:type="dxa"/>
            </w:tcMa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1.2</w:t>
            </w:r>
          </w:p>
        </w:tc>
      </w:tr>
      <w:tr w:rsidR="00D02AFC" w:rsidRPr="00D02AFC" w:rsidTr="00D02AFC">
        <w:tc>
          <w:tcPr>
            <w:tcW w:w="5207" w:type="dxa"/>
            <w:tcBorders>
              <w:top w:val="nil"/>
              <w:left w:val="single" w:sz="8" w:space="0" w:color="000000"/>
              <w:bottom w:val="single" w:sz="8" w:space="0" w:color="000000"/>
              <w:right w:val="single" w:sz="8" w:space="0" w:color="000000"/>
            </w:tcBorders>
            <w:tcMar>
              <w:top w:w="84" w:type="dxa"/>
              <w:left w:w="117" w:type="dxa"/>
              <w:bottom w:w="84" w:type="dxa"/>
              <w:right w:w="117" w:type="dxa"/>
            </w:tcMa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61个月以上</w:t>
            </w:r>
          </w:p>
        </w:tc>
        <w:tc>
          <w:tcPr>
            <w:tcW w:w="4069" w:type="dxa"/>
            <w:tcBorders>
              <w:top w:val="nil"/>
              <w:left w:val="nil"/>
              <w:bottom w:val="single" w:sz="8" w:space="0" w:color="000000"/>
              <w:right w:val="single" w:sz="8" w:space="0" w:color="000000"/>
            </w:tcBorders>
            <w:tcMar>
              <w:top w:w="84" w:type="dxa"/>
              <w:left w:w="117" w:type="dxa"/>
              <w:bottom w:w="84" w:type="dxa"/>
              <w:right w:w="117" w:type="dxa"/>
            </w:tcMa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逐单议</w:t>
            </w:r>
          </w:p>
        </w:tc>
      </w:tr>
    </w:tbl>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color w:val="333333"/>
          <w:kern w:val="0"/>
          <w:sz w:val="24"/>
          <w:szCs w:val="24"/>
        </w:rPr>
        <w:t xml:space="preserve">　　备注：不足 1 个月按 1 个月计算。</w:t>
      </w:r>
    </w:p>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b/>
          <w:bCs/>
          <w:color w:val="333333"/>
          <w:kern w:val="0"/>
          <w:sz w:val="24"/>
          <w:szCs w:val="24"/>
        </w:rPr>
        <w:t xml:space="preserve">　　（二）合同造价规模系数B</w:t>
      </w:r>
    </w:p>
    <w:tbl>
      <w:tblPr>
        <w:tblW w:w="9377"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5510"/>
        <w:gridCol w:w="3867"/>
      </w:tblGrid>
      <w:tr w:rsidR="00D02AFC" w:rsidRPr="00D02AFC" w:rsidTr="00D02AFC">
        <w:tc>
          <w:tcPr>
            <w:tcW w:w="2937"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合同总造价（单位：元）</w:t>
            </w:r>
          </w:p>
        </w:tc>
        <w:tc>
          <w:tcPr>
            <w:tcW w:w="2062"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系数</w:t>
            </w:r>
          </w:p>
        </w:tc>
      </w:tr>
      <w:tr w:rsidR="00D02AFC" w:rsidRPr="00D02AFC" w:rsidTr="00D02AFC">
        <w:tc>
          <w:tcPr>
            <w:tcW w:w="5509"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3000万以下</w:t>
            </w:r>
          </w:p>
        </w:tc>
        <w:tc>
          <w:tcPr>
            <w:tcW w:w="3868"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1.3</w:t>
            </w:r>
          </w:p>
        </w:tc>
      </w:tr>
      <w:tr w:rsidR="00D02AFC" w:rsidRPr="00D02AFC" w:rsidTr="00D02AFC">
        <w:tc>
          <w:tcPr>
            <w:tcW w:w="5509"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3000以上，不足1亿</w:t>
            </w:r>
          </w:p>
        </w:tc>
        <w:tc>
          <w:tcPr>
            <w:tcW w:w="3868"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1.2</w:t>
            </w:r>
          </w:p>
        </w:tc>
      </w:tr>
      <w:tr w:rsidR="00D02AFC" w:rsidRPr="00D02AFC" w:rsidTr="00D02AFC">
        <w:tc>
          <w:tcPr>
            <w:tcW w:w="5509"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1亿以上，不足3亿</w:t>
            </w:r>
          </w:p>
        </w:tc>
        <w:tc>
          <w:tcPr>
            <w:tcW w:w="3868"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1</w:t>
            </w:r>
          </w:p>
        </w:tc>
      </w:tr>
      <w:tr w:rsidR="00D02AFC" w:rsidRPr="00D02AFC" w:rsidTr="00D02AFC">
        <w:tc>
          <w:tcPr>
            <w:tcW w:w="5509"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3亿以上，不足5亿</w:t>
            </w:r>
          </w:p>
        </w:tc>
        <w:tc>
          <w:tcPr>
            <w:tcW w:w="3868"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0.9</w:t>
            </w:r>
          </w:p>
        </w:tc>
      </w:tr>
      <w:tr w:rsidR="00D02AFC" w:rsidRPr="00D02AFC" w:rsidTr="00D02AFC">
        <w:tc>
          <w:tcPr>
            <w:tcW w:w="5509"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5亿以上，不足10亿</w:t>
            </w:r>
          </w:p>
        </w:tc>
        <w:tc>
          <w:tcPr>
            <w:tcW w:w="3868"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0.8</w:t>
            </w:r>
          </w:p>
        </w:tc>
      </w:tr>
      <w:tr w:rsidR="00D02AFC" w:rsidRPr="00D02AFC" w:rsidTr="00D02AFC">
        <w:tc>
          <w:tcPr>
            <w:tcW w:w="5509"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10亿以上</w:t>
            </w:r>
          </w:p>
        </w:tc>
        <w:tc>
          <w:tcPr>
            <w:tcW w:w="3868"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0.75</w:t>
            </w:r>
          </w:p>
        </w:tc>
      </w:tr>
    </w:tbl>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b/>
          <w:bCs/>
          <w:color w:val="333333"/>
          <w:kern w:val="0"/>
          <w:sz w:val="24"/>
          <w:szCs w:val="24"/>
        </w:rPr>
        <w:t xml:space="preserve">　　（三）工程类型系数C</w:t>
      </w:r>
    </w:p>
    <w:tbl>
      <w:tblPr>
        <w:tblW w:w="9377"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5510"/>
        <w:gridCol w:w="3867"/>
      </w:tblGrid>
      <w:tr w:rsidR="00D02AFC" w:rsidRPr="00D02AFC" w:rsidTr="00D02AFC">
        <w:tc>
          <w:tcPr>
            <w:tcW w:w="2937"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b/>
                <w:bCs/>
                <w:color w:val="333333"/>
                <w:kern w:val="0"/>
                <w:sz w:val="24"/>
                <w:szCs w:val="24"/>
              </w:rPr>
              <w:t>工程类型</w:t>
            </w:r>
          </w:p>
        </w:tc>
        <w:tc>
          <w:tcPr>
            <w:tcW w:w="2062"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b/>
                <w:bCs/>
                <w:color w:val="333333"/>
                <w:kern w:val="0"/>
                <w:sz w:val="24"/>
                <w:szCs w:val="24"/>
              </w:rPr>
              <w:t>调整系数</w:t>
            </w:r>
          </w:p>
        </w:tc>
      </w:tr>
      <w:tr w:rsidR="00D02AFC" w:rsidRPr="00D02AFC" w:rsidTr="00D02AFC">
        <w:tc>
          <w:tcPr>
            <w:tcW w:w="5509"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市政工程（非道路、桥梁、轨道）</w:t>
            </w:r>
          </w:p>
        </w:tc>
        <w:tc>
          <w:tcPr>
            <w:tcW w:w="3868"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0.9</w:t>
            </w:r>
          </w:p>
        </w:tc>
      </w:tr>
      <w:tr w:rsidR="00D02AFC" w:rsidRPr="00D02AFC" w:rsidTr="00D02AFC">
        <w:tc>
          <w:tcPr>
            <w:tcW w:w="5509"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楼宇建造（含主体建造、装修）</w:t>
            </w:r>
          </w:p>
        </w:tc>
        <w:tc>
          <w:tcPr>
            <w:tcW w:w="3868"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1</w:t>
            </w:r>
          </w:p>
        </w:tc>
      </w:tr>
      <w:tr w:rsidR="00D02AFC" w:rsidRPr="00D02AFC" w:rsidTr="00D02AFC">
        <w:tc>
          <w:tcPr>
            <w:tcW w:w="5509"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机械拆除（含爆破）</w:t>
            </w:r>
          </w:p>
        </w:tc>
        <w:tc>
          <w:tcPr>
            <w:tcW w:w="3868"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1.1</w:t>
            </w:r>
          </w:p>
        </w:tc>
      </w:tr>
      <w:tr w:rsidR="00D02AFC" w:rsidRPr="00D02AFC" w:rsidTr="00D02AFC">
        <w:tc>
          <w:tcPr>
            <w:tcW w:w="5509"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人工拆除</w:t>
            </w:r>
          </w:p>
        </w:tc>
        <w:tc>
          <w:tcPr>
            <w:tcW w:w="3868"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1.4</w:t>
            </w:r>
          </w:p>
        </w:tc>
      </w:tr>
    </w:tbl>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b/>
          <w:bCs/>
          <w:color w:val="333333"/>
          <w:kern w:val="0"/>
          <w:sz w:val="24"/>
          <w:szCs w:val="24"/>
        </w:rPr>
        <w:t xml:space="preserve">　　（四）佛山市建筑行业企业诚信综合考评等级系数D</w:t>
      </w:r>
    </w:p>
    <w:tbl>
      <w:tblPr>
        <w:tblW w:w="926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5862"/>
        <w:gridCol w:w="3398"/>
      </w:tblGrid>
      <w:tr w:rsidR="00D02AFC" w:rsidRPr="00D02AFC" w:rsidTr="00D02AFC">
        <w:tc>
          <w:tcPr>
            <w:tcW w:w="3164"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b/>
                <w:bCs/>
                <w:color w:val="333333"/>
                <w:kern w:val="0"/>
                <w:sz w:val="24"/>
                <w:szCs w:val="24"/>
              </w:rPr>
              <w:t>诚信企业标准</w:t>
            </w:r>
          </w:p>
        </w:tc>
        <w:tc>
          <w:tcPr>
            <w:tcW w:w="1835" w:type="pct"/>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b/>
                <w:bCs/>
                <w:color w:val="333333"/>
                <w:kern w:val="0"/>
                <w:sz w:val="24"/>
                <w:szCs w:val="24"/>
              </w:rPr>
              <w:t>调整系数</w:t>
            </w:r>
          </w:p>
        </w:tc>
      </w:tr>
      <w:tr w:rsidR="00D02AFC" w:rsidRPr="00D02AFC" w:rsidTr="00D02AFC">
        <w:tc>
          <w:tcPr>
            <w:tcW w:w="5860"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A级企业</w:t>
            </w:r>
          </w:p>
        </w:tc>
        <w:tc>
          <w:tcPr>
            <w:tcW w:w="3399"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0.95</w:t>
            </w:r>
          </w:p>
        </w:tc>
      </w:tr>
      <w:tr w:rsidR="00D02AFC" w:rsidRPr="00D02AFC" w:rsidTr="00D02AFC">
        <w:tc>
          <w:tcPr>
            <w:tcW w:w="5860"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B级企业</w:t>
            </w:r>
          </w:p>
        </w:tc>
        <w:tc>
          <w:tcPr>
            <w:tcW w:w="3399"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1</w:t>
            </w:r>
          </w:p>
        </w:tc>
      </w:tr>
      <w:tr w:rsidR="00D02AFC" w:rsidRPr="00D02AFC" w:rsidTr="00D02AFC">
        <w:tc>
          <w:tcPr>
            <w:tcW w:w="5860"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C级企业</w:t>
            </w:r>
          </w:p>
        </w:tc>
        <w:tc>
          <w:tcPr>
            <w:tcW w:w="3399"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1.05</w:t>
            </w:r>
          </w:p>
        </w:tc>
      </w:tr>
      <w:tr w:rsidR="00D02AFC" w:rsidRPr="00D02AFC" w:rsidTr="00D02AFC">
        <w:tc>
          <w:tcPr>
            <w:tcW w:w="5860"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D级企业</w:t>
            </w:r>
          </w:p>
        </w:tc>
        <w:tc>
          <w:tcPr>
            <w:tcW w:w="3399" w:type="dxa"/>
            <w:tcBorders>
              <w:top w:val="single" w:sz="6" w:space="0" w:color="000000"/>
              <w:left w:val="single" w:sz="6" w:space="0" w:color="000000"/>
              <w:bottom w:val="single" w:sz="6" w:space="0" w:color="000000"/>
              <w:right w:val="single" w:sz="6" w:space="0" w:color="000000"/>
            </w:tcBorders>
            <w:tcMar>
              <w:top w:w="84" w:type="dxa"/>
              <w:left w:w="167" w:type="dxa"/>
              <w:bottom w:w="84" w:type="dxa"/>
              <w:right w:w="167" w:type="dxa"/>
            </w:tcMar>
            <w:vAlign w:val="center"/>
            <w:hideMark/>
          </w:tcPr>
          <w:p w:rsidR="00D02AFC" w:rsidRPr="00D02AFC" w:rsidRDefault="00D02AFC" w:rsidP="00D02AFC">
            <w:pPr>
              <w:widowControl/>
              <w:spacing w:before="100" w:beforeAutospacing="1" w:after="100" w:afterAutospacing="1" w:line="360" w:lineRule="auto"/>
              <w:jc w:val="left"/>
              <w:rPr>
                <w:rFonts w:asciiTheme="minorEastAsia" w:hAnsiTheme="minorEastAsia" w:cs="宋体"/>
                <w:color w:val="333333"/>
                <w:kern w:val="0"/>
                <w:sz w:val="24"/>
                <w:szCs w:val="24"/>
              </w:rPr>
            </w:pPr>
            <w:r w:rsidRPr="00D02AFC">
              <w:rPr>
                <w:rFonts w:asciiTheme="minorEastAsia" w:hAnsiTheme="minorEastAsia" w:cs="宋体" w:hint="eastAsia"/>
                <w:color w:val="333333"/>
                <w:kern w:val="0"/>
                <w:sz w:val="24"/>
                <w:szCs w:val="24"/>
              </w:rPr>
              <w:t>1.1</w:t>
            </w:r>
          </w:p>
        </w:tc>
      </w:tr>
    </w:tbl>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b/>
          <w:bCs/>
          <w:color w:val="333333"/>
          <w:kern w:val="0"/>
          <w:sz w:val="24"/>
          <w:szCs w:val="24"/>
        </w:rPr>
        <w:t xml:space="preserve">　　保险费=工程造价*基础费率之和*系数A*系数B*系数C*系数D；</w:t>
      </w:r>
    </w:p>
    <w:p w:rsidR="00D02AFC" w:rsidRPr="00D02AFC" w:rsidRDefault="00D02AFC" w:rsidP="00D02AFC">
      <w:pPr>
        <w:widowControl/>
        <w:shd w:val="clear" w:color="auto" w:fill="FFFFFF"/>
        <w:spacing w:before="100" w:beforeAutospacing="1" w:after="100" w:afterAutospacing="1" w:line="360" w:lineRule="auto"/>
        <w:jc w:val="left"/>
        <w:rPr>
          <w:rFonts w:asciiTheme="minorEastAsia" w:hAnsiTheme="minorEastAsia" w:cs="宋体" w:hint="eastAsia"/>
          <w:color w:val="333333"/>
          <w:kern w:val="0"/>
          <w:sz w:val="24"/>
          <w:szCs w:val="24"/>
        </w:rPr>
      </w:pPr>
      <w:r w:rsidRPr="00D02AFC">
        <w:rPr>
          <w:rFonts w:asciiTheme="minorEastAsia" w:hAnsiTheme="minorEastAsia" w:cs="宋体" w:hint="eastAsia"/>
          <w:color w:val="333333"/>
          <w:kern w:val="0"/>
          <w:sz w:val="24"/>
          <w:szCs w:val="24"/>
        </w:rPr>
        <w:t xml:space="preserve">　　若主险及附加险全部子项投保的，保险费用=工程造价*基础费率之和*系数A*系数B*系数C*系数D*0.9。</w:t>
      </w:r>
    </w:p>
    <w:p w:rsidR="00D02AFC" w:rsidRPr="00D02AFC" w:rsidRDefault="00D02AFC"/>
    <w:sectPr w:rsidR="00D02AFC" w:rsidRPr="00D02AF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56DF" w:rsidRDefault="005956DF" w:rsidP="00D02AFC">
      <w:r>
        <w:separator/>
      </w:r>
    </w:p>
  </w:endnote>
  <w:endnote w:type="continuationSeparator" w:id="1">
    <w:p w:rsidR="005956DF" w:rsidRDefault="005956DF" w:rsidP="00D02AF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56DF" w:rsidRDefault="005956DF" w:rsidP="00D02AFC">
      <w:r>
        <w:separator/>
      </w:r>
    </w:p>
  </w:footnote>
  <w:footnote w:type="continuationSeparator" w:id="1">
    <w:p w:rsidR="005956DF" w:rsidRDefault="005956DF" w:rsidP="00D02AF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02AFC"/>
    <w:rsid w:val="005913F1"/>
    <w:rsid w:val="005956DF"/>
    <w:rsid w:val="00D02AF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D02AFC"/>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02AF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02AFC"/>
    <w:rPr>
      <w:sz w:val="18"/>
      <w:szCs w:val="18"/>
    </w:rPr>
  </w:style>
  <w:style w:type="paragraph" w:styleId="a4">
    <w:name w:val="footer"/>
    <w:basedOn w:val="a"/>
    <w:link w:val="Char0"/>
    <w:uiPriority w:val="99"/>
    <w:semiHidden/>
    <w:unhideWhenUsed/>
    <w:rsid w:val="00D02AF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02AFC"/>
    <w:rPr>
      <w:sz w:val="18"/>
      <w:szCs w:val="18"/>
    </w:rPr>
  </w:style>
  <w:style w:type="character" w:customStyle="1" w:styleId="3Char">
    <w:name w:val="标题 3 Char"/>
    <w:basedOn w:val="a0"/>
    <w:link w:val="3"/>
    <w:uiPriority w:val="9"/>
    <w:rsid w:val="00D02AFC"/>
    <w:rPr>
      <w:rFonts w:ascii="宋体" w:eastAsia="宋体" w:hAnsi="宋体" w:cs="宋体"/>
      <w:b/>
      <w:bCs/>
      <w:kern w:val="0"/>
      <w:sz w:val="27"/>
      <w:szCs w:val="27"/>
    </w:rPr>
  </w:style>
  <w:style w:type="paragraph" w:styleId="a5">
    <w:name w:val="Normal (Web)"/>
    <w:basedOn w:val="a"/>
    <w:uiPriority w:val="99"/>
    <w:unhideWhenUsed/>
    <w:rsid w:val="00D02AFC"/>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D02AFC"/>
    <w:rPr>
      <w:b/>
      <w:bCs/>
    </w:rPr>
  </w:style>
</w:styles>
</file>

<file path=word/webSettings.xml><?xml version="1.0" encoding="utf-8"?>
<w:webSettings xmlns:r="http://schemas.openxmlformats.org/officeDocument/2006/relationships" xmlns:w="http://schemas.openxmlformats.org/wordprocessingml/2006/main">
  <w:divs>
    <w:div w:id="806124118">
      <w:bodyDiv w:val="1"/>
      <w:marLeft w:val="0"/>
      <w:marRight w:val="0"/>
      <w:marTop w:val="0"/>
      <w:marBottom w:val="0"/>
      <w:divBdr>
        <w:top w:val="none" w:sz="0" w:space="0" w:color="auto"/>
        <w:left w:val="none" w:sz="0" w:space="0" w:color="auto"/>
        <w:bottom w:val="none" w:sz="0" w:space="0" w:color="auto"/>
        <w:right w:val="none" w:sz="0" w:space="0" w:color="auto"/>
      </w:divBdr>
      <w:divsChild>
        <w:div w:id="1988435578">
          <w:marLeft w:val="0"/>
          <w:marRight w:val="0"/>
          <w:marTop w:val="0"/>
          <w:marBottom w:val="0"/>
          <w:divBdr>
            <w:top w:val="none" w:sz="0" w:space="0" w:color="auto"/>
            <w:left w:val="none" w:sz="0" w:space="0" w:color="auto"/>
            <w:bottom w:val="none" w:sz="0" w:space="0" w:color="auto"/>
            <w:right w:val="none" w:sz="0" w:space="0" w:color="auto"/>
          </w:divBdr>
          <w:divsChild>
            <w:div w:id="418520910">
              <w:marLeft w:val="0"/>
              <w:marRight w:val="0"/>
              <w:marTop w:val="0"/>
              <w:marBottom w:val="0"/>
              <w:divBdr>
                <w:top w:val="none" w:sz="0" w:space="0" w:color="auto"/>
                <w:left w:val="none" w:sz="0" w:space="0" w:color="auto"/>
                <w:bottom w:val="none" w:sz="0" w:space="0" w:color="auto"/>
                <w:right w:val="none" w:sz="0" w:space="0" w:color="auto"/>
              </w:divBdr>
              <w:divsChild>
                <w:div w:id="1391877327">
                  <w:marLeft w:val="0"/>
                  <w:marRight w:val="0"/>
                  <w:marTop w:val="0"/>
                  <w:marBottom w:val="0"/>
                  <w:divBdr>
                    <w:top w:val="none" w:sz="0" w:space="0" w:color="auto"/>
                    <w:left w:val="none" w:sz="0" w:space="0" w:color="auto"/>
                    <w:bottom w:val="none" w:sz="0" w:space="0" w:color="auto"/>
                    <w:right w:val="none" w:sz="0" w:space="0" w:color="auto"/>
                  </w:divBdr>
                  <w:divsChild>
                    <w:div w:id="1718234431">
                      <w:marLeft w:val="0"/>
                      <w:marRight w:val="0"/>
                      <w:marTop w:val="0"/>
                      <w:marBottom w:val="0"/>
                      <w:divBdr>
                        <w:top w:val="none" w:sz="0" w:space="0" w:color="auto"/>
                        <w:left w:val="none" w:sz="0" w:space="0" w:color="auto"/>
                        <w:bottom w:val="none" w:sz="0" w:space="0" w:color="auto"/>
                        <w:right w:val="none" w:sz="0" w:space="0" w:color="auto"/>
                      </w:divBdr>
                      <w:divsChild>
                        <w:div w:id="151561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651</Words>
  <Characters>3716</Characters>
  <Application>Microsoft Office Word</Application>
  <DocSecurity>0</DocSecurity>
  <Lines>30</Lines>
  <Paragraphs>8</Paragraphs>
  <ScaleCrop>false</ScaleCrop>
  <Company>Regaltec</Company>
  <LinksUpToDate>false</LinksUpToDate>
  <CharactersWithSpaces>4359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4</cp:revision>
  <dcterms:created xsi:type="dcterms:W3CDTF">2021-11-23T01:22:00Z</dcterms:created>
  <dcterms:modified xsi:type="dcterms:W3CDTF">2021-11-23T01:25:00Z</dcterms:modified>
</cp:coreProperties>
</file>