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textAlignment w:val="auto"/>
        <w:outlineLvl w:val="9"/>
        <w:rPr>
          <w:rFonts w:hint="eastAsia" w:ascii="黑体" w:eastAsia="黑体"/>
          <w:sz w:val="32"/>
          <w:szCs w:val="18"/>
          <w:lang w:val="en-US" w:eastAsia="zh-CN"/>
        </w:rPr>
      </w:pPr>
      <w:r>
        <w:rPr>
          <w:rFonts w:hint="eastAsia" w:ascii="黑体" w:eastAsia="黑体"/>
          <w:sz w:val="32"/>
          <w:szCs w:val="18"/>
          <w:lang w:val="en-US" w:eastAsia="zh-CN"/>
        </w:rPr>
        <w:t>附件1</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20" w:lineRule="exact"/>
        <w:ind w:left="0" w:leftChars="0" w:right="0" w:rightChars="0"/>
        <w:textAlignment w:val="auto"/>
        <w:outlineLvl w:val="9"/>
        <w:rPr>
          <w:rFonts w:hint="eastAsia" w:ascii="黑体" w:eastAsia="黑体"/>
          <w:sz w:val="44"/>
          <w:szCs w:val="44"/>
          <w:lang w:val="en-US" w:eastAsia="zh-CN"/>
        </w:rPr>
      </w:pPr>
    </w:p>
    <w:p>
      <w:pPr>
        <w:pStyle w:val="22"/>
        <w:keepNext w:val="0"/>
        <w:keepLines w:val="0"/>
        <w:pageBreakBefore w:val="0"/>
        <w:widowControl w:val="0"/>
        <w:kinsoku/>
        <w:wordWrap/>
        <w:overflowPunct/>
        <w:topLinePunct w:val="0"/>
        <w:autoSpaceDN/>
        <w:bidi w:val="0"/>
        <w:adjustRightInd/>
        <w:snapToGrid/>
        <w:spacing w:before="0" w:beforeLines="0" w:after="0" w:afterLines="0" w:line="520" w:lineRule="exact"/>
        <w:ind w:left="0" w:leftChars="0" w:right="0" w:rightChars="0" w:firstLine="0" w:firstLineChars="0"/>
        <w:jc w:val="center"/>
        <w:textAlignment w:val="auto"/>
        <w:rPr>
          <w:rFonts w:hint="eastAsia" w:ascii="方正小标宋简体" w:hAnsi="方正小标宋简体" w:eastAsia="方正小标宋简体"/>
          <w:color w:val="auto"/>
          <w:sz w:val="44"/>
          <w:szCs w:val="44"/>
          <w:lang w:eastAsia="zh-CN"/>
        </w:rPr>
      </w:pPr>
      <w:r>
        <w:rPr>
          <w:rFonts w:hint="eastAsia" w:ascii="方正小标宋简体" w:hAnsi="方正小标宋简体" w:eastAsia="方正小标宋简体"/>
          <w:color w:val="auto"/>
          <w:sz w:val="44"/>
          <w:szCs w:val="44"/>
          <w:lang w:eastAsia="zh-CN"/>
        </w:rPr>
        <w:t>节后复工复产</w:t>
      </w:r>
      <w:r>
        <w:rPr>
          <w:rFonts w:hint="eastAsia" w:ascii="方正小标宋简体" w:hAnsi="方正小标宋简体" w:eastAsia="方正小标宋简体"/>
          <w:color w:val="auto"/>
          <w:sz w:val="44"/>
          <w:szCs w:val="44"/>
        </w:rPr>
        <w:t>“三个一”</w:t>
      </w:r>
      <w:r>
        <w:rPr>
          <w:rFonts w:hint="eastAsia" w:ascii="方正小标宋简体" w:hAnsi="方正小标宋简体" w:eastAsia="方正小标宋简体"/>
          <w:color w:val="auto"/>
          <w:sz w:val="44"/>
          <w:szCs w:val="44"/>
          <w:lang w:eastAsia="zh-CN"/>
        </w:rPr>
        <w:t>、高危企业</w:t>
      </w:r>
    </w:p>
    <w:p>
      <w:pPr>
        <w:pStyle w:val="22"/>
        <w:keepNext w:val="0"/>
        <w:keepLines w:val="0"/>
        <w:pageBreakBefore w:val="0"/>
        <w:widowControl w:val="0"/>
        <w:kinsoku/>
        <w:wordWrap/>
        <w:overflowPunct/>
        <w:topLinePunct w:val="0"/>
        <w:autoSpaceDN/>
        <w:bidi w:val="0"/>
        <w:adjustRightInd/>
        <w:snapToGrid/>
        <w:spacing w:before="0" w:beforeLines="0" w:after="0" w:afterLines="0" w:line="520" w:lineRule="exact"/>
        <w:ind w:left="0" w:leftChars="0" w:right="0" w:rightChars="0" w:firstLine="0" w:firstLineChars="0"/>
        <w:jc w:val="center"/>
        <w:textAlignment w:val="auto"/>
        <w:rPr>
          <w:rFonts w:hint="eastAsia" w:ascii="方正小标宋简体" w:hAnsi="方正小标宋简体" w:eastAsia="方正小标宋简体"/>
          <w:color w:val="auto"/>
          <w:sz w:val="44"/>
          <w:szCs w:val="32"/>
        </w:rPr>
      </w:pPr>
      <w:r>
        <w:rPr>
          <w:rFonts w:hint="eastAsia" w:ascii="方正小标宋简体" w:hAnsi="方正小标宋简体" w:eastAsia="方正小标宋简体"/>
          <w:color w:val="auto"/>
          <w:sz w:val="44"/>
          <w:szCs w:val="32"/>
          <w:lang w:eastAsia="zh-CN"/>
        </w:rPr>
        <w:t>“六</w:t>
      </w:r>
      <w:r>
        <w:rPr>
          <w:rFonts w:hint="eastAsia" w:ascii="方正小标宋简体" w:hAnsi="方正小标宋简体" w:eastAsia="方正小标宋简体"/>
          <w:color w:val="auto"/>
          <w:sz w:val="44"/>
          <w:szCs w:val="32"/>
        </w:rPr>
        <w:t>个一</w:t>
      </w:r>
      <w:r>
        <w:rPr>
          <w:rFonts w:hint="eastAsia" w:ascii="方正小标宋简体" w:hAnsi="方正小标宋简体" w:eastAsia="方正小标宋简体"/>
          <w:color w:val="auto"/>
          <w:sz w:val="44"/>
          <w:szCs w:val="32"/>
          <w:lang w:eastAsia="zh-CN"/>
        </w:rPr>
        <w:t>”</w:t>
      </w:r>
      <w:r>
        <w:rPr>
          <w:rFonts w:hint="eastAsia" w:ascii="方正小标宋简体" w:hAnsi="方正小标宋简体" w:eastAsia="方正小标宋简体"/>
          <w:color w:val="auto"/>
          <w:sz w:val="44"/>
          <w:szCs w:val="32"/>
        </w:rPr>
        <w:t>安全措施</w:t>
      </w:r>
    </w:p>
    <w:p>
      <w:pPr>
        <w:pStyle w:val="22"/>
        <w:keepNext w:val="0"/>
        <w:keepLines w:val="0"/>
        <w:pageBreakBefore w:val="0"/>
        <w:widowControl w:val="0"/>
        <w:kinsoku/>
        <w:wordWrap/>
        <w:overflowPunct/>
        <w:topLinePunct w:val="0"/>
        <w:autoSpaceDN/>
        <w:bidi w:val="0"/>
        <w:adjustRightInd/>
        <w:snapToGrid/>
        <w:spacing w:before="0" w:beforeLines="0" w:after="0" w:afterLines="0" w:line="520" w:lineRule="exact"/>
        <w:ind w:left="0" w:leftChars="0" w:right="0" w:rightChars="0" w:firstLine="0" w:firstLineChars="0"/>
        <w:jc w:val="both"/>
        <w:textAlignment w:val="auto"/>
        <w:rPr>
          <w:rFonts w:hint="eastAsia" w:ascii="方正小标宋简体" w:hAnsi="方正小标宋简体" w:eastAsia="方正小标宋简体"/>
          <w:color w:val="auto"/>
          <w:sz w:val="44"/>
          <w:szCs w:val="32"/>
          <w:lang w:eastAsia="zh-CN"/>
        </w:rPr>
      </w:pPr>
    </w:p>
    <w:p>
      <w:pPr>
        <w:pStyle w:val="23"/>
        <w:keepNext w:val="0"/>
        <w:keepLines w:val="0"/>
        <w:pageBreakBefore w:val="0"/>
        <w:widowControl w:val="0"/>
        <w:kinsoku/>
        <w:wordWrap/>
        <w:overflowPunct/>
        <w:topLinePunct w:val="0"/>
        <w:autoSpaceDE w:val="0"/>
        <w:autoSpaceDN/>
        <w:bidi w:val="0"/>
        <w:adjustRightInd/>
        <w:snapToGrid/>
        <w:spacing w:before="0" w:beforeLines="0" w:after="0" w:afterLines="0" w:line="520" w:lineRule="exact"/>
        <w:ind w:left="0" w:leftChars="0" w:right="0" w:rightChars="0" w:firstLine="622" w:firstLineChars="200"/>
        <w:jc w:val="both"/>
        <w:textAlignment w:val="auto"/>
        <w:outlineLvl w:val="9"/>
        <w:rPr>
          <w:rFonts w:hint="default" w:ascii="仿宋_GB2312" w:hAnsi="仿宋_GB2312" w:eastAsia="仿宋_GB2312"/>
          <w:color w:val="auto"/>
          <w:sz w:val="32"/>
        </w:rPr>
      </w:pPr>
      <w:r>
        <w:rPr>
          <w:rFonts w:hint="eastAsia" w:ascii="黑体" w:hAnsi="黑体" w:eastAsia="黑体"/>
          <w:b w:val="0"/>
          <w:bCs/>
          <w:color w:val="auto"/>
          <w:sz w:val="32"/>
        </w:rPr>
        <w:t>一是要广泛开展一次安全生产培训。</w:t>
      </w:r>
      <w:r>
        <w:rPr>
          <w:rFonts w:hint="eastAsia" w:ascii="仿宋_GB2312" w:hAnsi="仿宋_GB2312" w:eastAsia="仿宋_GB2312"/>
          <w:color w:val="auto"/>
          <w:sz w:val="32"/>
        </w:rPr>
        <w:t>采取集中宣讲、现场带教、事故警示、聘请安全专家开展隐患排查等形式，重点加强节后新招、调岗职工的安全教育，做到职工岗前安全教育全覆盖、管理人员安全专项培训全覆盖。要以《安全生产法》的有关要求为基础，针对岗位操作基础知识、安全操作基本要求以及复工装置开工安全要点等进行再培训、再教育，建立培训教育台帐，做到人人过关。</w:t>
      </w:r>
    </w:p>
    <w:p>
      <w:pPr>
        <w:pStyle w:val="23"/>
        <w:keepNext w:val="0"/>
        <w:keepLines w:val="0"/>
        <w:pageBreakBefore w:val="0"/>
        <w:widowControl w:val="0"/>
        <w:kinsoku/>
        <w:wordWrap/>
        <w:overflowPunct/>
        <w:topLinePunct w:val="0"/>
        <w:autoSpaceDE w:val="0"/>
        <w:autoSpaceDN/>
        <w:bidi w:val="0"/>
        <w:adjustRightInd/>
        <w:snapToGrid/>
        <w:spacing w:before="0" w:beforeLines="0" w:after="0" w:afterLines="0" w:line="520" w:lineRule="exact"/>
        <w:ind w:left="0" w:leftChars="0" w:right="0" w:rightChars="0" w:firstLine="622" w:firstLineChars="200"/>
        <w:jc w:val="both"/>
        <w:textAlignment w:val="auto"/>
        <w:outlineLvl w:val="9"/>
        <w:rPr>
          <w:rFonts w:hint="default" w:ascii="仿宋_GB2312" w:hAnsi="仿宋_GB2312" w:eastAsia="仿宋_GB2312"/>
          <w:color w:val="auto"/>
          <w:sz w:val="32"/>
        </w:rPr>
      </w:pPr>
      <w:r>
        <w:rPr>
          <w:rFonts w:hint="eastAsia" w:ascii="黑体" w:hAnsi="黑体" w:eastAsia="黑体"/>
          <w:b w:val="0"/>
          <w:bCs/>
          <w:color w:val="auto"/>
          <w:sz w:val="32"/>
        </w:rPr>
        <w:t>二是要全面进行一次设备安全检查。</w:t>
      </w:r>
      <w:r>
        <w:rPr>
          <w:rFonts w:hint="eastAsia" w:ascii="仿宋_GB2312" w:hAnsi="仿宋_GB2312" w:eastAsia="仿宋_GB2312"/>
          <w:color w:val="auto"/>
          <w:sz w:val="32"/>
        </w:rPr>
        <w:t>复工前必须对生产系统，管道、阀门、仪表等生产设备，通风除尘、污水处理设施，应急报警、放射防护、防爆装置等职业安全健康设施进行一次全面安全检查，特别是对安全设施、关键部位要检验、检查，确保处于完好适用状态。</w:t>
      </w:r>
    </w:p>
    <w:p>
      <w:pPr>
        <w:pStyle w:val="23"/>
        <w:keepNext w:val="0"/>
        <w:keepLines w:val="0"/>
        <w:pageBreakBefore w:val="0"/>
        <w:widowControl w:val="0"/>
        <w:kinsoku/>
        <w:wordWrap/>
        <w:overflowPunct/>
        <w:topLinePunct w:val="0"/>
        <w:autoSpaceDE w:val="0"/>
        <w:autoSpaceDN/>
        <w:bidi w:val="0"/>
        <w:adjustRightInd/>
        <w:snapToGrid/>
        <w:spacing w:before="0" w:beforeLines="0" w:after="0" w:afterLines="0" w:line="520" w:lineRule="exact"/>
        <w:ind w:left="0" w:leftChars="0" w:right="0" w:rightChars="0" w:firstLine="622" w:firstLineChars="200"/>
        <w:jc w:val="both"/>
        <w:textAlignment w:val="auto"/>
        <w:outlineLvl w:val="9"/>
        <w:rPr>
          <w:rFonts w:hint="eastAsia" w:ascii="楷体_GB2312" w:hAnsi="楷体_GB2312" w:eastAsia="楷体_GB2312" w:cs="Times New Roman"/>
          <w:b w:val="0"/>
          <w:bCs/>
          <w:color w:val="auto"/>
          <w:kern w:val="2"/>
          <w:sz w:val="32"/>
          <w:szCs w:val="32"/>
          <w:lang w:val="en-US" w:eastAsia="zh-CN"/>
        </w:rPr>
      </w:pPr>
      <w:r>
        <w:rPr>
          <w:rFonts w:hint="eastAsia" w:ascii="黑体" w:hAnsi="黑体" w:eastAsia="黑体"/>
          <w:b w:val="0"/>
          <w:bCs/>
          <w:color w:val="auto"/>
          <w:sz w:val="32"/>
        </w:rPr>
        <w:t>三是要认真制定一套复产方案。</w:t>
      </w:r>
      <w:r>
        <w:rPr>
          <w:rFonts w:hint="eastAsia" w:ascii="仿宋_GB2312" w:hAnsi="仿宋_GB2312" w:eastAsia="仿宋_GB2312"/>
          <w:b w:val="0"/>
          <w:bCs/>
          <w:color w:val="auto"/>
          <w:sz w:val="32"/>
        </w:rPr>
        <w:t>企业要制定</w:t>
      </w:r>
      <w:r>
        <w:rPr>
          <w:rFonts w:hint="eastAsia" w:ascii="仿宋_GB2312" w:hAnsi="仿宋_GB2312" w:eastAsia="仿宋_GB2312"/>
          <w:color w:val="auto"/>
          <w:sz w:val="32"/>
          <w:lang w:eastAsia="zh-CN"/>
        </w:rPr>
        <w:t>复工复产</w:t>
      </w:r>
      <w:r>
        <w:rPr>
          <w:rFonts w:hint="eastAsia" w:ascii="仿宋_GB2312" w:hAnsi="仿宋_GB2312" w:eastAsia="仿宋_GB2312"/>
          <w:color w:val="auto"/>
          <w:sz w:val="32"/>
        </w:rPr>
        <w:t>安全方案，确保</w:t>
      </w:r>
      <w:r>
        <w:rPr>
          <w:rFonts w:hint="eastAsia" w:ascii="仿宋_GB2312" w:hAnsi="仿宋_GB2312" w:eastAsia="仿宋_GB2312"/>
          <w:color w:val="auto"/>
          <w:sz w:val="32"/>
          <w:lang w:eastAsia="zh-CN"/>
        </w:rPr>
        <w:t>复工复产</w:t>
      </w:r>
      <w:r>
        <w:rPr>
          <w:rFonts w:hint="eastAsia" w:ascii="仿宋_GB2312" w:hAnsi="仿宋_GB2312" w:eastAsia="仿宋_GB2312"/>
          <w:color w:val="auto"/>
          <w:sz w:val="32"/>
        </w:rPr>
        <w:t>的每一个步骤规范、严格、稳妥、有序，保障安全、平稳地度过</w:t>
      </w:r>
      <w:r>
        <w:rPr>
          <w:rFonts w:hint="eastAsia" w:ascii="仿宋_GB2312" w:hAnsi="仿宋_GB2312" w:eastAsia="仿宋_GB2312"/>
          <w:color w:val="auto"/>
          <w:sz w:val="32"/>
          <w:lang w:eastAsia="zh-CN"/>
        </w:rPr>
        <w:t>复工复产</w:t>
      </w:r>
      <w:r>
        <w:rPr>
          <w:rFonts w:hint="eastAsia" w:ascii="仿宋_GB2312" w:hAnsi="仿宋_GB2312" w:eastAsia="仿宋_GB2312"/>
          <w:color w:val="auto"/>
          <w:sz w:val="32"/>
        </w:rPr>
        <w:t>的关键时段。</w:t>
      </w:r>
    </w:p>
    <w:p>
      <w:pPr>
        <w:pStyle w:val="23"/>
        <w:keepNext w:val="0"/>
        <w:keepLines w:val="0"/>
        <w:pageBreakBefore w:val="0"/>
        <w:widowControl w:val="0"/>
        <w:kinsoku/>
        <w:wordWrap/>
        <w:overflowPunct/>
        <w:topLinePunct w:val="0"/>
        <w:autoSpaceDE w:val="0"/>
        <w:autoSpaceDN/>
        <w:bidi w:val="0"/>
        <w:adjustRightInd/>
        <w:snapToGrid/>
        <w:spacing w:before="0" w:beforeLines="0" w:after="0" w:afterLines="0" w:line="520" w:lineRule="exact"/>
        <w:ind w:left="0" w:leftChars="0" w:right="0" w:rightChars="0" w:firstLine="640"/>
        <w:jc w:val="both"/>
        <w:textAlignment w:val="auto"/>
        <w:outlineLvl w:val="9"/>
        <w:rPr>
          <w:rFonts w:hint="eastAsia" w:ascii="仿宋_GB2312" w:hAnsi="仿宋_GB2312" w:eastAsia="仿宋_GB2312" w:cs="Times New Roman"/>
          <w:color w:val="auto"/>
          <w:sz w:val="32"/>
          <w:lang w:val="en-US" w:eastAsia="zh-CN"/>
        </w:rPr>
        <w:sectPr>
          <w:headerReference r:id="rId3" w:type="default"/>
          <w:footerReference r:id="rId4" w:type="default"/>
          <w:pgSz w:w="11906" w:h="16838"/>
          <w:pgMar w:top="2098" w:right="1474" w:bottom="1985" w:left="1588" w:header="851" w:footer="1418" w:gutter="0"/>
          <w:pgNumType w:fmt="numberInDash"/>
          <w:cols w:space="720" w:num="1"/>
          <w:docGrid w:type="linesAndChars" w:linePitch="579" w:charSpace="-1844"/>
        </w:sectPr>
      </w:pPr>
      <w:r>
        <w:rPr>
          <w:rFonts w:hint="eastAsia" w:ascii="黑体" w:hAnsi="黑体" w:eastAsia="黑体" w:cs="Times New Roman"/>
          <w:b w:val="0"/>
          <w:bCs/>
          <w:color w:val="auto"/>
          <w:sz w:val="32"/>
          <w:lang w:val="en-US" w:eastAsia="zh-CN"/>
        </w:rPr>
        <w:t>【高危行业“六个一”】</w:t>
      </w:r>
      <w:r>
        <w:rPr>
          <w:rFonts w:hint="eastAsia" w:ascii="仿宋_GB2312" w:hAnsi="仿宋_GB2312" w:eastAsia="仿宋_GB2312" w:cs="Times New Roman"/>
          <w:color w:val="auto"/>
          <w:sz w:val="32"/>
          <w:lang w:val="en-US" w:eastAsia="zh-CN"/>
        </w:rPr>
        <w:t>召开一次领导班子安全生产专题会议、制定一份周密的复工复产方案、召开一次全体员工大会、开展一次全员安全教育、制定一套应急处置方案、开展一次全厂性安全检查。</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right="0" w:rightChars="0"/>
        <w:textAlignment w:val="auto"/>
        <w:outlineLvl w:val="9"/>
        <w:rPr>
          <w:rFonts w:hint="eastAsia" w:ascii="黑体" w:eastAsia="黑体"/>
          <w:sz w:val="32"/>
          <w:szCs w:val="18"/>
          <w:lang w:val="en-US" w:eastAsia="zh-CN"/>
        </w:rPr>
      </w:pPr>
      <w:r>
        <w:rPr>
          <w:rFonts w:hint="eastAsia" w:ascii="黑体" w:eastAsia="黑体"/>
          <w:sz w:val="32"/>
          <w:szCs w:val="18"/>
          <w:lang w:val="en-US" w:eastAsia="zh-CN"/>
        </w:rPr>
        <w:t>附件2</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right="0" w:rightChars="0" w:firstLine="0" w:firstLineChars="0"/>
        <w:jc w:val="center"/>
        <w:textAlignment w:val="auto"/>
        <w:outlineLvl w:val="9"/>
        <w:rPr>
          <w:rFonts w:hint="eastAsia" w:ascii="黑体" w:eastAsia="黑体"/>
          <w:sz w:val="32"/>
          <w:szCs w:val="18"/>
          <w:lang w:val="en-US" w:eastAsia="zh-CN"/>
        </w:rPr>
      </w:pPr>
      <w:r>
        <w:rPr>
          <w:rFonts w:hint="eastAsia" w:ascii="方正小标宋简体" w:hAnsi="方正小标宋简体" w:eastAsia="方正小标宋简体"/>
          <w:sz w:val="32"/>
          <w:szCs w:val="18"/>
          <w:lang w:val="en-US" w:eastAsia="zh-CN"/>
        </w:rPr>
        <w:t>2022年节后复工复产“云课堂”课程目录指引</w:t>
      </w:r>
    </w:p>
    <w:tbl>
      <w:tblPr>
        <w:tblStyle w:val="7"/>
        <w:tblW w:w="10778"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73"/>
        <w:gridCol w:w="4917"/>
        <w:gridCol w:w="2066"/>
        <w:gridCol w:w="26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rPr>
              <w:t>序号</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rPr>
              <w:t>课题</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rPr>
              <w:t>类别</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黑体" w:hAnsi="黑体" w:eastAsia="黑体" w:cs="黑体"/>
                <w:b w:val="0"/>
                <w:bCs w:val="0"/>
                <w:i w:val="0"/>
                <w:iCs w:val="0"/>
                <w:color w:val="000000"/>
                <w:sz w:val="24"/>
                <w:szCs w:val="24"/>
                <w:u w:val="none"/>
              </w:rPr>
            </w:pPr>
            <w:r>
              <w:rPr>
                <w:rFonts w:hint="eastAsia" w:ascii="黑体" w:hAnsi="黑体" w:eastAsia="黑体" w:cs="黑体"/>
                <w:b w:val="0"/>
                <w:bCs w:val="0"/>
                <w:i w:val="0"/>
                <w:iCs w:val="0"/>
                <w:color w:val="000000"/>
                <w:kern w:val="0"/>
                <w:sz w:val="24"/>
                <w:szCs w:val="24"/>
                <w:u w:val="none"/>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政策法规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1</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auto"/>
                <w:kern w:val="0"/>
                <w:sz w:val="20"/>
                <w:szCs w:val="20"/>
                <w:u w:val="none"/>
                <w:lang w:val="en-US" w:eastAsia="zh-CN"/>
              </w:rPr>
              <w:t>安全复工</w:t>
            </w:r>
            <w:r>
              <w:rPr>
                <w:rFonts w:hint="eastAsia" w:ascii="微软雅黑" w:hAnsi="微软雅黑" w:eastAsia="微软雅黑" w:cs="微软雅黑"/>
                <w:b/>
                <w:bCs/>
                <w:i w:val="0"/>
                <w:iCs w:val="0"/>
                <w:color w:val="auto"/>
                <w:kern w:val="0"/>
                <w:sz w:val="20"/>
                <w:szCs w:val="20"/>
                <w:u w:val="none"/>
                <w:lang w:val="en-US"/>
              </w:rPr>
              <w:t>复产</w:t>
            </w:r>
            <w:r>
              <w:rPr>
                <w:rFonts w:hint="eastAsia" w:ascii="微软雅黑" w:hAnsi="微软雅黑" w:eastAsia="微软雅黑" w:cs="微软雅黑"/>
                <w:b/>
                <w:bCs/>
                <w:i w:val="0"/>
                <w:iCs w:val="0"/>
                <w:color w:val="auto"/>
                <w:kern w:val="0"/>
                <w:sz w:val="20"/>
                <w:szCs w:val="20"/>
                <w:u w:val="none"/>
                <w:lang w:val="en-US" w:eastAsia="zh-CN"/>
              </w:rPr>
              <w:t>第一课</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lang w:eastAsia="zh-CN"/>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nil"/>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必修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42"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习近平总书记关于安全生产重要论述《生命重于泰山》</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劳动者的权利和义务</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安全生产监督与管理</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nil"/>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如何制定科学复工复产方案</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事故应急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事故应急和调查处理</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非煤矿山复工复产培训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危险化学品企业节后复工安全培训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有色金属冶炼安全风险分析与管控</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10</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企业节后复工复产隐患排查</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11</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有限空间作业安全</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12</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机械安全及风险管控</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13</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粉尘涉爆及风险管控</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14</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高处作业安全</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视频课程</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案例分析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15</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典型事故案例-佛山篇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八大作业警示片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16</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受限空间安全培训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17</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盲板抽堵作业安全培训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18</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临时用电作业安全培训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19</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高处作业安全培训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20</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断路作业安全培训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21</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动土作业安全培训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22</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动火作业安全培训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23</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吊装作业安全培训</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佛山事故案例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24</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2015年佛山典型特种作业事故警示片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25</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2016年生命之鉴警示片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26</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2017年佛山市安全生产警示教育片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27</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2018年佛山安全生产警示片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28</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2019年佛山市生产安全事故警示教育片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rPr>
            </w:pPr>
            <w:r>
              <w:rPr>
                <w:rFonts w:hint="eastAsia" w:ascii="微软雅黑" w:hAnsi="微软雅黑" w:eastAsia="微软雅黑" w:cs="微软雅黑"/>
                <w:i w:val="0"/>
                <w:iCs w:val="0"/>
                <w:color w:val="000000"/>
                <w:kern w:val="0"/>
                <w:sz w:val="20"/>
                <w:szCs w:val="20"/>
                <w:u w:val="none"/>
                <w:lang w:val="en-US" w:eastAsia="zh-CN"/>
              </w:rPr>
              <w:t>29</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2020年顺德区6.27较大坍塌事故警示片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安责险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30</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安责险短片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lang w:eastAsia="zh-CN"/>
              </w:rPr>
            </w:pPr>
            <w:r>
              <w:rPr>
                <w:rFonts w:hint="eastAsia" w:ascii="微软雅黑" w:hAnsi="微软雅黑" w:eastAsia="微软雅黑" w:cs="微软雅黑"/>
                <w:i w:val="0"/>
                <w:iCs w:val="0"/>
                <w:color w:val="000000"/>
                <w:sz w:val="20"/>
                <w:szCs w:val="20"/>
                <w:u w:val="none"/>
                <w:lang w:eastAsia="zh-CN"/>
              </w:rPr>
              <w:t>宣传片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7D7D7"/>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b/>
                <w:bCs/>
                <w:i w:val="0"/>
                <w:iCs w:val="0"/>
                <w:color w:val="000000"/>
                <w:kern w:val="0"/>
                <w:sz w:val="24"/>
                <w:szCs w:val="24"/>
                <w:u w:val="none"/>
                <w:lang w:val="en-US" w:eastAsia="zh-CN"/>
              </w:rPr>
              <w:t>烟花炮竹警示片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31</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烟花炮竹宣传警示片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0778" w:type="dxa"/>
            <w:gridSpan w:val="4"/>
            <w:tcBorders>
              <w:top w:val="single" w:color="000000" w:sz="4" w:space="0"/>
              <w:left w:val="single" w:color="000000" w:sz="4" w:space="0"/>
              <w:bottom w:val="single" w:color="000000" w:sz="4" w:space="0"/>
              <w:right w:val="single" w:color="000000" w:sz="4" w:space="0"/>
            </w:tcBorders>
            <w:shd w:val="clear" w:color="auto" w:fill="D7D7D7"/>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ind w:firstLine="4158" w:firstLineChars="1800"/>
              <w:jc w:val="both"/>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b/>
                <w:bCs/>
                <w:i w:val="0"/>
                <w:iCs w:val="0"/>
                <w:color w:val="000000"/>
                <w:kern w:val="0"/>
                <w:sz w:val="24"/>
                <w:szCs w:val="24"/>
                <w:u w:val="none"/>
                <w:lang w:val="en-US" w:eastAsia="zh-CN"/>
              </w:rPr>
              <w:t>化工、危化警示片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32</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2020年“3.5”韶关乳源东阳光生产安全事故整改教育片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选修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0" w:hRule="atLeast"/>
          <w:jc w:val="center"/>
        </w:trPr>
        <w:tc>
          <w:tcPr>
            <w:tcW w:w="1173"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sz w:val="20"/>
                <w:szCs w:val="20"/>
                <w:u w:val="none"/>
                <w:lang w:val="en-US" w:eastAsia="zh-CN"/>
              </w:rPr>
            </w:pPr>
            <w:r>
              <w:rPr>
                <w:rFonts w:hint="eastAsia" w:ascii="微软雅黑" w:hAnsi="微软雅黑" w:eastAsia="微软雅黑" w:cs="微软雅黑"/>
                <w:i w:val="0"/>
                <w:iCs w:val="0"/>
                <w:color w:val="000000"/>
                <w:sz w:val="20"/>
                <w:szCs w:val="20"/>
                <w:u w:val="none"/>
                <w:lang w:val="en-US" w:eastAsia="zh-CN"/>
              </w:rPr>
              <w:t>33</w:t>
            </w:r>
          </w:p>
        </w:tc>
        <w:tc>
          <w:tcPr>
            <w:tcW w:w="4917"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生死之间—2016年危化品安全生产警示教育片</w:t>
            </w:r>
          </w:p>
        </w:tc>
        <w:tc>
          <w:tcPr>
            <w:tcW w:w="2066"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kinsoku/>
              <w:wordWrap/>
              <w:overflowPunct/>
              <w:topLinePunct w:val="0"/>
              <w:autoSpaceDE/>
              <w:autoSpaceDN/>
              <w:bidi w:val="0"/>
              <w:adjustRightInd/>
              <w:snapToGrid/>
              <w:spacing w:line="400" w:lineRule="exact"/>
              <w:jc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sz w:val="20"/>
                <w:szCs w:val="20"/>
                <w:u w:val="none"/>
                <w:lang w:eastAsia="zh-CN"/>
              </w:rPr>
              <w:t>警示片</w:t>
            </w:r>
          </w:p>
        </w:tc>
        <w:tc>
          <w:tcPr>
            <w:tcW w:w="2622"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选修</w:t>
            </w:r>
          </w:p>
        </w:tc>
      </w:tr>
    </w:tbl>
    <w:p>
      <w:pPr>
        <w:pStyle w:val="21"/>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right="0" w:rightChars="0" w:firstLine="0" w:firstLineChars="0"/>
        <w:jc w:val="center"/>
        <w:textAlignment w:val="auto"/>
        <w:outlineLvl w:val="9"/>
        <w:rPr>
          <w:rFonts w:hint="eastAsia" w:ascii="方正小标宋简体" w:hAnsi="方正小标宋简体" w:eastAsia="方正小标宋简体"/>
          <w:sz w:val="32"/>
          <w:szCs w:val="18"/>
          <w:lang w:val="en-US" w:eastAsia="zh-CN"/>
        </w:rPr>
      </w:pP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620" w:lineRule="exact"/>
        <w:ind w:left="0" w:leftChars="0" w:right="0" w:rightChars="0" w:firstLine="0" w:firstLineChars="0"/>
        <w:jc w:val="center"/>
        <w:textAlignment w:val="auto"/>
        <w:outlineLvl w:val="9"/>
        <w:rPr>
          <w:rFonts w:hint="eastAsia" w:ascii="方正小标宋简体" w:hAnsi="方正小标宋简体" w:eastAsia="方正小标宋简体"/>
          <w:sz w:val="32"/>
          <w:szCs w:val="18"/>
          <w:lang w:val="en-US" w:eastAsia="zh-CN"/>
        </w:rPr>
      </w:pPr>
      <w:r>
        <w:rPr>
          <w:rFonts w:hint="eastAsia" w:ascii="方正小标宋简体" w:hAnsi="方正小标宋简体" w:eastAsia="方正小标宋简体"/>
          <w:sz w:val="32"/>
          <w:szCs w:val="18"/>
          <w:lang w:val="en-US" w:eastAsia="zh-CN"/>
        </w:rPr>
        <w:t>2022年复工复产资料库（</w:t>
      </w:r>
      <w:r>
        <w:rPr>
          <w:rFonts w:hint="default" w:ascii="方正小标宋简体" w:hAnsi="方正小标宋简体" w:eastAsia="方正小标宋简体"/>
          <w:sz w:val="32"/>
          <w:szCs w:val="18"/>
          <w:lang w:eastAsia="zh-CN"/>
        </w:rPr>
        <w:t>10</w:t>
      </w:r>
      <w:r>
        <w:rPr>
          <w:rFonts w:hint="eastAsia" w:ascii="方正小标宋简体" w:hAnsi="方正小标宋简体" w:eastAsia="方正小标宋简体"/>
          <w:sz w:val="32"/>
          <w:szCs w:val="18"/>
          <w:lang w:val="en-US" w:eastAsia="zh-CN"/>
        </w:rPr>
        <w:t>3份仅供参考）</w:t>
      </w:r>
    </w:p>
    <w:tbl>
      <w:tblPr>
        <w:tblStyle w:val="7"/>
        <w:tblW w:w="9540"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01"/>
        <w:gridCol w:w="8145"/>
        <w:gridCol w:w="7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01检查表格模板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安全检查与隐患排查计划表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安全生产诚信承诺书</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春节期间工地人员值班表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冬季安全检查表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冬季施工交底</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佛山市企业节后复工复产安全生产自查清单</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佛山市有限空间作业安全检查表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复工报告申请书</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高处作业安全告知卡</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节后复工复产十四项排查重点</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企业主要负责人岗位安全明白卡</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史上最全安全生产隐患排查表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02疫情防控资料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01 疫情防控宣传图册</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02 防疫防护管理</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03 防疫风险告知卡</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04 防疫复工方案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05 防疫管理表格</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06 防疫管理承诺书</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07 防疫管理制度</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08 防疫培训课件</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09 防疫培训试卷</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 防疫视频</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11 防疫药剂管理</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12 防疫应急预案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13 疫情防控指导手册</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压缩包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新冠病毒肺炎防控知识手册</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03方案模板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【停工方案】春节期间施工现场管理方案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【停工方案】春节前停工至节后复工安全工作措施</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【停工方案】春节停工计划方案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【应急预案】节假日突发事件应急预案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【应急预案】节假日应急预案资料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【应急预案】重大活动和节假日期间应急预案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安全隐患排查治理工作方案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冬季安全检查方案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冬季施工方案及施工保证措施</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冬季施工应急救援预案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建筑起重机械生产安全事故应急救援预案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企业春节后复工方案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塔式起重机安装应急预案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04培训课件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《中华人民共和国安全生产法》正式版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PDF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2"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新旧安全生产法对照表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PDF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2021新《安全生产法》全面解读（84页）</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新《安全生产法》违法处罚条款解读课件</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【培训课件】节后复工安全培训PPT</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【培训课件】节后施工复工安全培训PPT</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八大特殊作业安全管理培训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叉车安全手册</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冬季安全之化工企业静电防治基础知识</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冬季八防专项安全培训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粉尘防爆安全培训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复产培训通用培训企业版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机械行业常见风险及防控对策</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建筑施工现场常见隐患图片识别</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起重机械吊索具检查与报废标准</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如何预防机械伤害培训教材</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三级教育之班组级安全培训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三级教育之车间级安全培训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三级教育之公司级安全培训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事故隐患排查治理培训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塔式起重机司机及信号指挥安全知识培训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特殊危险作业安全管理培训</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新员工入职公司级安全生产知识</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移动式起重机吊装作业安全管理</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员工安全意识培养和行为安全管理培训教材</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26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职业病危害风险分级与隐患排查治理--双体系</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05知识要点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安全生产名词解释</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防止静电事故通用导则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防止静电危害十条规定</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附件1-学习宣传贯彻习近平总书记关于安全生产重要论述专题实施方案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附件2-落实企业安全生产主体责任三年行动专题实施方案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附件3-危险化学品安全专项整治三年行动实施方案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附件4-煤矿安全专项整治三年行动实施方案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附件5-非煤矿山安全专项整治三年行动实施方案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附件6-消防安全专项整洽三年行动实施方案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附件7-道路运输安全专项整治三年行动实施方案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附件8-交通运输和渔业船舶安全专项整治三年行动实施方案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附件9-城市建设安全专项整治三年行动实施方案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附件10-工业园区等功能区安全专项整治三年行动实施方案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附件11-危险废物等安全专项整治三年行动实施方案</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复工前安全教育培训试卷（全员）</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节后复工复产“三个一”、高危企业“六个一”</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起重机械操作21个安全要点</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起重机械吊具锁具安全规程</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三级”安全教育的概念</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PDF</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三级安全教育试题及答案(班组级)</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三级安全教育试题及答案(部门级)</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三级安全教育试题及答案(公司级)</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06工矿商贸企业资料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《佛山市工矿商贸领域高处作业安全管理规定》</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《佛山市工矿商贸领域外包工程安全管理规定》</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佛山市工矿商贸安全生产“一线三排”标识牌样图</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佛山市工矿商贸安全生产“一线三排”工作指引流程图</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佛山市工矿商贸安全生产“一线三排”落实方案例图</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佛山市工矿商贸安全生产“一线三排”实施指南</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文档</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9540" w:type="dxa"/>
            <w:gridSpan w:val="3"/>
            <w:tcBorders>
              <w:top w:val="single" w:color="000000" w:sz="4" w:space="0"/>
              <w:left w:val="single" w:color="000000" w:sz="4" w:space="0"/>
              <w:bottom w:val="single" w:color="000000" w:sz="4" w:space="0"/>
              <w:right w:val="single" w:color="000000" w:sz="4" w:space="0"/>
            </w:tcBorders>
            <w:shd w:val="clear" w:color="auto" w:fill="D9D9D9"/>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07危险化学品、烟花爆竹、化工企业资料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序号</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4"/>
                <w:szCs w:val="24"/>
                <w:u w:val="none"/>
              </w:rPr>
            </w:pPr>
            <w:r>
              <w:rPr>
                <w:rFonts w:hint="eastAsia" w:ascii="微软雅黑" w:hAnsi="微软雅黑" w:eastAsia="微软雅黑" w:cs="微软雅黑"/>
                <w:b/>
                <w:bCs/>
                <w:i w:val="0"/>
                <w:iCs w:val="0"/>
                <w:color w:val="000000"/>
                <w:kern w:val="0"/>
                <w:sz w:val="24"/>
                <w:szCs w:val="24"/>
                <w:u w:val="none"/>
                <w:lang w:val="en-US" w:eastAsia="zh-CN"/>
              </w:rPr>
              <w:t>资料</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b/>
                <w:bCs/>
                <w:i w:val="0"/>
                <w:iCs w:val="0"/>
                <w:color w:val="000000"/>
                <w:sz w:val="20"/>
                <w:szCs w:val="20"/>
                <w:u w:val="none"/>
              </w:rPr>
            </w:pPr>
            <w:r>
              <w:rPr>
                <w:rFonts w:hint="eastAsia" w:ascii="微软雅黑" w:hAnsi="微软雅黑" w:eastAsia="微软雅黑" w:cs="微软雅黑"/>
                <w:b/>
                <w:bCs/>
                <w:i w:val="0"/>
                <w:iCs w:val="0"/>
                <w:color w:val="000000"/>
                <w:kern w:val="0"/>
                <w:sz w:val="20"/>
                <w:szCs w:val="20"/>
                <w:u w:val="none"/>
                <w:lang w:val="en-US" w:eastAsia="zh-CN"/>
              </w:rPr>
              <w:t>类型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1</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佛山市危险化学品、烟花爆竹、化工企业制度建设、证照检查总表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2</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加油站现场检查表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3</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石油化工企业现场检查表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4</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涂料、树脂、胶粘剂企业现场检查表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5</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危险化学品气体企业现场检查表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6</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烟花爆竹零售店现场检查表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7</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一般化工企业现场检查表</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rPr>
              <w:t>表格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8.</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《广东省高风险作业和重点领域（岗位）“一线三排”工作指引》</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指引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9</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化学品生产单位特殊作业安全规范解读</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PPT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363" w:hRule="atLeast"/>
          <w:jc w:val="center"/>
        </w:trPr>
        <w:tc>
          <w:tcPr>
            <w:tcW w:w="601"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10</w:t>
            </w:r>
          </w:p>
        </w:tc>
        <w:tc>
          <w:tcPr>
            <w:tcW w:w="8145"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left"/>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一线三排及化工行业四令三制海报</w:t>
            </w:r>
          </w:p>
        </w:tc>
        <w:tc>
          <w:tcPr>
            <w:tcW w:w="794" w:type="dxa"/>
            <w:tcBorders>
              <w:top w:val="single" w:color="000000" w:sz="4" w:space="0"/>
              <w:left w:val="single" w:color="000000" w:sz="4" w:space="0"/>
              <w:bottom w:val="single" w:color="000000" w:sz="4" w:space="0"/>
              <w:right w:val="single" w:color="000000" w:sz="4" w:space="0"/>
            </w:tcBorders>
            <w:vAlign w:val="center"/>
          </w:tcPr>
          <w:p>
            <w:pPr>
              <w:pStyle w:val="24"/>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微软雅黑" w:hAnsi="微软雅黑" w:eastAsia="微软雅黑" w:cs="微软雅黑"/>
                <w:i w:val="0"/>
                <w:iCs w:val="0"/>
                <w:color w:val="000000"/>
                <w:kern w:val="0"/>
                <w:sz w:val="20"/>
                <w:szCs w:val="20"/>
                <w:u w:val="none"/>
                <w:lang w:val="en-US" w:eastAsia="zh-CN"/>
              </w:rPr>
            </w:pPr>
            <w:r>
              <w:rPr>
                <w:rFonts w:hint="eastAsia" w:ascii="微软雅黑" w:hAnsi="微软雅黑" w:eastAsia="微软雅黑" w:cs="微软雅黑"/>
                <w:i w:val="0"/>
                <w:iCs w:val="0"/>
                <w:color w:val="000000"/>
                <w:kern w:val="0"/>
                <w:sz w:val="20"/>
                <w:szCs w:val="20"/>
                <w:u w:val="none"/>
                <w:lang w:val="en-US" w:eastAsia="zh-CN"/>
              </w:rPr>
              <w:t>图片</w:t>
            </w:r>
          </w:p>
        </w:tc>
      </w:tr>
    </w:tbl>
    <w:p>
      <w:pPr>
        <w:pStyle w:val="24"/>
      </w:pP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9"/>
        <w:rPr>
          <w:rFonts w:hint="eastAsia" w:ascii="仿宋_GB2312" w:hAnsi="仿宋_GB2312" w:eastAsia="仿宋_GB2312" w:cs="黑体"/>
          <w:kern w:val="2"/>
          <w:sz w:val="28"/>
          <w:szCs w:val="24"/>
          <w:lang w:val="en-US" w:eastAsia="zh-CN"/>
        </w:rPr>
      </w:pPr>
      <w:r>
        <w:rPr>
          <w:rFonts w:hint="eastAsia" w:ascii="仿宋_GB2312" w:hAnsi="仿宋_GB2312" w:eastAsia="仿宋_GB2312" w:cs="黑体"/>
          <w:kern w:val="2"/>
          <w:sz w:val="28"/>
          <w:szCs w:val="24"/>
          <w:lang w:val="en-US" w:eastAsia="zh-CN"/>
        </w:rPr>
        <w:t>备注：1.以上资料仅供参考，更多其他培训资料，可关注“佛山应急管理”微信公众号，点“查找服务”，在线上培训中免费下载“复工复产资料包”（2月7日后可以下载）。</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00" w:lineRule="exact"/>
        <w:ind w:left="0" w:leftChars="0" w:right="0" w:rightChars="0" w:firstLine="0" w:firstLineChars="0"/>
        <w:jc w:val="both"/>
        <w:textAlignment w:val="auto"/>
        <w:outlineLvl w:val="9"/>
        <w:rPr>
          <w:rFonts w:hint="eastAsia" w:ascii="仿宋_GB2312" w:hAnsi="仿宋_GB2312" w:eastAsia="仿宋_GB2312" w:cs="黑体"/>
          <w:kern w:val="2"/>
          <w:sz w:val="28"/>
          <w:szCs w:val="24"/>
          <w:lang w:val="en-US" w:eastAsia="zh-CN"/>
        </w:rPr>
      </w:pPr>
      <w:r>
        <w:rPr>
          <w:rFonts w:hint="eastAsia" w:ascii="仿宋_GB2312" w:hAnsi="仿宋_GB2312" w:eastAsia="仿宋_GB2312" w:cs="黑体"/>
          <w:kern w:val="2"/>
          <w:sz w:val="28"/>
          <w:szCs w:val="24"/>
          <w:lang w:val="en-US" w:eastAsia="zh-CN"/>
        </w:rPr>
        <w:t xml:space="preserve">      2.各区、相关部门可联系市安委办领取资料用于培训。</w:t>
      </w:r>
    </w:p>
    <w:p>
      <w:pPr>
        <w:pStyle w:val="24"/>
        <w:keepNext w:val="0"/>
        <w:keepLines w:val="0"/>
        <w:pageBreakBefore w:val="0"/>
        <w:widowControl w:val="0"/>
        <w:kinsoku/>
        <w:wordWrap/>
        <w:overflowPunct/>
        <w:topLinePunct w:val="0"/>
        <w:autoSpaceDE/>
        <w:autoSpaceDN/>
        <w:bidi w:val="0"/>
        <w:adjustRightInd/>
        <w:snapToGrid/>
        <w:spacing w:line="560" w:lineRule="exact"/>
        <w:rPr>
          <w:rFonts w:hint="eastAsia" w:ascii="黑体" w:eastAsia="黑体"/>
          <w:sz w:val="32"/>
          <w:szCs w:val="18"/>
          <w:lang w:val="en-US" w:eastAsia="zh-CN"/>
        </w:rPr>
      </w:pPr>
      <w:r>
        <w:rPr>
          <w:rFonts w:hint="eastAsia" w:ascii="黑体" w:eastAsia="黑体"/>
          <w:sz w:val="32"/>
          <w:szCs w:val="18"/>
          <w:lang w:val="en-US" w:eastAsia="zh-CN"/>
        </w:rPr>
        <w:br w:type="page"/>
      </w:r>
      <w:r>
        <w:rPr>
          <w:rFonts w:hint="eastAsia" w:ascii="黑体" w:eastAsia="黑体"/>
          <w:sz w:val="32"/>
          <w:szCs w:val="18"/>
          <w:lang w:val="en-US" w:eastAsia="zh-CN"/>
        </w:rPr>
        <w:t>附件3</w:t>
      </w:r>
    </w:p>
    <w:p>
      <w:pPr>
        <w:pStyle w:val="10"/>
        <w:keepNext w:val="0"/>
        <w:keepLines w:val="0"/>
        <w:pageBreakBefore w:val="0"/>
        <w:widowControl w:val="0"/>
        <w:kinsoku/>
        <w:wordWrap/>
        <w:overflowPunct/>
        <w:topLinePunct w:val="0"/>
        <w:autoSpaceDE/>
        <w:autoSpaceDN/>
        <w:bidi w:val="0"/>
        <w:adjustRightInd/>
        <w:snapToGrid/>
        <w:spacing w:after="0" w:afterLines="0" w:line="560" w:lineRule="exact"/>
        <w:rPr>
          <w:rFonts w:hint="eastAsia"/>
          <w:lang w:val="en-US" w:eastAsia="zh-CN"/>
        </w:rPr>
      </w:pPr>
    </w:p>
    <w:p>
      <w:pPr>
        <w:pStyle w:val="22"/>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0" w:firstLineChars="0"/>
        <w:jc w:val="center"/>
        <w:textAlignment w:val="auto"/>
        <w:rPr>
          <w:rFonts w:hint="eastAsia" w:ascii="方正小标宋简体" w:hAnsi="方正小标宋简体" w:eastAsia="方正小标宋简体" w:cs="Times New Roman"/>
          <w:color w:val="auto"/>
          <w:sz w:val="44"/>
          <w:szCs w:val="32"/>
          <w:lang w:val="en-US" w:eastAsia="zh-CN"/>
        </w:rPr>
      </w:pPr>
      <w:r>
        <w:rPr>
          <w:rFonts w:hint="eastAsia" w:ascii="方正小标宋简体" w:hAnsi="方正小标宋简体" w:eastAsia="方正小标宋简体" w:cs="Times New Roman"/>
          <w:color w:val="auto"/>
          <w:sz w:val="44"/>
          <w:szCs w:val="32"/>
          <w:lang w:val="en-US" w:eastAsia="zh-CN"/>
        </w:rPr>
        <w:t>“云课堂”节后复工复产线上培训学习指引</w:t>
      </w:r>
    </w:p>
    <w:p>
      <w:pPr>
        <w:pStyle w:val="22"/>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0" w:firstLineChars="0"/>
        <w:jc w:val="center"/>
        <w:textAlignment w:val="auto"/>
        <w:rPr>
          <w:rFonts w:hint="eastAsia" w:ascii="方正小标宋简体" w:hAnsi="方正小标宋简体" w:eastAsia="方正小标宋简体" w:cs="Times New Roman"/>
          <w:color w:val="auto"/>
          <w:sz w:val="44"/>
          <w:szCs w:val="32"/>
          <w:lang w:val="en-US" w:eastAsia="zh-CN"/>
        </w:rPr>
      </w:pPr>
    </w:p>
    <w:p>
      <w:pPr>
        <w:pStyle w:val="14"/>
        <w:keepNext w:val="0"/>
        <w:keepLines w:val="0"/>
        <w:pageBreakBefore w:val="0"/>
        <w:widowControl w:val="0"/>
        <w:kinsoku/>
        <w:wordWrap/>
        <w:overflowPunct/>
        <w:topLinePunct w:val="0"/>
        <w:autoSpaceDE/>
        <w:autoSpaceDN/>
        <w:bidi w:val="0"/>
        <w:adjustRightInd/>
        <w:snapToGrid/>
        <w:spacing w:before="0" w:line="560" w:lineRule="exact"/>
        <w:ind w:left="0" w:leftChars="0" w:right="0" w:rightChars="0" w:firstLine="622" w:firstLineChars="200"/>
        <w:jc w:val="both"/>
        <w:textAlignment w:val="auto"/>
        <w:outlineLvl w:val="9"/>
        <w:rPr>
          <w:rFonts w:hint="eastAsia" w:ascii="方正小标宋简体" w:hAnsi="方正小标宋简体" w:eastAsia="方正小标宋简体" w:cs="Times New Roman"/>
          <w:color w:val="auto"/>
          <w:sz w:val="32"/>
          <w:szCs w:val="32"/>
          <w:lang w:val="en-US" w:eastAsia="zh-CN"/>
        </w:rPr>
      </w:pPr>
      <w:r>
        <w:rPr>
          <w:rFonts w:hint="eastAsia" w:ascii="仿宋_GB2312" w:hAnsi="仿宋_GB2312" w:eastAsia="仿宋_GB2312" w:cs="黑体"/>
          <w:sz w:val="32"/>
          <w:lang w:val="en-US" w:eastAsia="zh-CN"/>
        </w:rPr>
        <w:t>1.</w:t>
      </w:r>
      <w:r>
        <w:rPr>
          <w:rFonts w:hint="eastAsia" w:ascii="仿宋_GB2312" w:hAnsi="仿宋_GB2312" w:eastAsia="仿宋_GB2312" w:cs="黑体"/>
          <w:sz w:val="32"/>
          <w:lang w:eastAsia="zh-CN"/>
        </w:rPr>
        <w:t>网络畅通情况下，</w:t>
      </w:r>
      <w:r>
        <w:rPr>
          <w:rFonts w:hint="eastAsia" w:ascii="仿宋_GB2312" w:hAnsi="仿宋_GB2312" w:eastAsia="仿宋_GB2312" w:cs="黑体"/>
          <w:sz w:val="32"/>
        </w:rPr>
        <w:t>手机登录，识别二维码，关注“佛山应急管理”公众号，点</w:t>
      </w:r>
      <w:r>
        <w:rPr>
          <w:rFonts w:hint="eastAsia" w:ascii="仿宋_GB2312" w:hAnsi="仿宋_GB2312" w:eastAsia="仿宋_GB2312" w:cs="黑体"/>
          <w:sz w:val="32"/>
          <w:lang w:eastAsia="zh-CN"/>
        </w:rPr>
        <w:t>最右边</w:t>
      </w:r>
      <w:r>
        <w:rPr>
          <w:rFonts w:hint="eastAsia" w:ascii="仿宋_GB2312" w:hAnsi="仿宋_GB2312" w:eastAsia="仿宋_GB2312" w:cs="黑体"/>
          <w:sz w:val="32"/>
        </w:rPr>
        <w:t>位置【</w:t>
      </w:r>
      <w:r>
        <w:rPr>
          <w:rFonts w:hint="eastAsia" w:ascii="仿宋_GB2312" w:hAnsi="仿宋_GB2312" w:eastAsia="仿宋_GB2312" w:cs="黑体"/>
          <w:sz w:val="32"/>
          <w:lang w:eastAsia="zh-CN"/>
        </w:rPr>
        <w:t>查找服务</w:t>
      </w:r>
      <w:r>
        <w:rPr>
          <w:rFonts w:hint="eastAsia" w:ascii="仿宋_GB2312" w:hAnsi="仿宋_GB2312" w:eastAsia="仿宋_GB2312" w:cs="黑体"/>
          <w:sz w:val="32"/>
        </w:rPr>
        <w:t>】菜单，然后再点击【</w:t>
      </w:r>
      <w:r>
        <w:rPr>
          <w:rFonts w:hint="eastAsia" w:ascii="仿宋_GB2312" w:hAnsi="仿宋_GB2312" w:eastAsia="仿宋_GB2312" w:cs="黑体"/>
          <w:sz w:val="32"/>
          <w:lang w:eastAsia="zh-CN"/>
        </w:rPr>
        <w:t>线上培训</w:t>
      </w:r>
      <w:r>
        <w:rPr>
          <w:rFonts w:hint="eastAsia" w:ascii="仿宋_GB2312" w:hAnsi="仿宋_GB2312" w:eastAsia="仿宋_GB2312" w:cs="黑体"/>
          <w:sz w:val="32"/>
        </w:rPr>
        <w:t>】，即可进入线上培训页面</w:t>
      </w:r>
      <w:r>
        <w:rPr>
          <w:rFonts w:hint="eastAsia" w:ascii="仿宋_GB2312" w:hAnsi="仿宋_GB2312" w:eastAsia="仿宋_GB2312" w:cs="黑体"/>
          <w:sz w:val="32"/>
          <w:lang w:eastAsia="zh-CN"/>
        </w:rPr>
        <w:t>（可用微信网页版登录通过电脑、投影设备等进行学习，“云课堂”2月7日正式上线投入使用）</w:t>
      </w:r>
      <w:r>
        <w:rPr>
          <w:rFonts w:hint="eastAsia" w:ascii="仿宋_GB2312" w:hAnsi="仿宋_GB2312" w:eastAsia="仿宋_GB2312" w:cs="黑体"/>
          <w:sz w:val="32"/>
        </w:rPr>
        <w:t>。</w:t>
      </w:r>
    </w:p>
    <w:p>
      <w:pPr>
        <w:pStyle w:val="14"/>
        <w:ind w:left="0" w:leftChars="0" w:right="0" w:rightChars="0" w:firstLine="0" w:firstLineChars="0"/>
        <w:jc w:val="center"/>
        <w:rPr>
          <w:rFonts w:hint="eastAsia" w:ascii="黑体" w:hAnsi="黑体" w:eastAsia="黑体" w:cs="黑体"/>
          <w:sz w:val="32"/>
          <w:szCs w:val="32"/>
        </w:rPr>
      </w:pPr>
      <w:r>
        <w:rPr>
          <w:rFonts w:hint="eastAsia" w:ascii="黑体" w:hAnsi="黑体" w:eastAsia="黑体" w:cs="黑体"/>
          <w:sz w:val="32"/>
          <w:szCs w:val="32"/>
        </w:rPr>
        <w:drawing>
          <wp:inline distT="0" distB="0" distL="114300" distR="114300">
            <wp:extent cx="3983355" cy="1731645"/>
            <wp:effectExtent l="0" t="0" r="17145" b="19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3"/>
                    <a:stretch>
                      <a:fillRect/>
                    </a:stretch>
                  </pic:blipFill>
                  <pic:spPr>
                    <a:xfrm>
                      <a:off x="0" y="0"/>
                      <a:ext cx="3983355" cy="1731645"/>
                    </a:xfrm>
                    <a:prstGeom prst="rect">
                      <a:avLst/>
                    </a:prstGeom>
                    <a:noFill/>
                    <a:ln>
                      <a:noFill/>
                    </a:ln>
                  </pic:spPr>
                </pic:pic>
              </a:graphicData>
            </a:graphic>
          </wp:inline>
        </w:drawing>
      </w:r>
    </w:p>
    <w:p>
      <w:pPr>
        <w:pStyle w:val="17"/>
        <w:keepNext w:val="0"/>
        <w:keepLines w:val="0"/>
        <w:pageBreakBefore w:val="0"/>
        <w:widowControl w:val="0"/>
        <w:numPr>
          <w:ilvl w:val="0"/>
          <w:numId w:val="0"/>
        </w:numPr>
        <w:kinsoku/>
        <w:wordWrap w:val="0"/>
        <w:overflowPunct/>
        <w:topLinePunct w:val="0"/>
        <w:autoSpaceDE/>
        <w:autoSpaceDN/>
        <w:bidi w:val="0"/>
        <w:adjustRightInd/>
        <w:snapToGrid/>
        <w:spacing w:before="0" w:beforeLines="0" w:after="0" w:afterLines="0" w:line="560" w:lineRule="exact"/>
        <w:ind w:leftChars="0" w:right="0" w:rightChars="0"/>
        <w:jc w:val="both"/>
        <w:textAlignment w:val="auto"/>
        <w:outlineLvl w:val="9"/>
        <w:rPr>
          <w:rFonts w:hint="eastAsia" w:ascii="仿宋_GB2312" w:hAnsi="仿宋_GB2312" w:eastAsia="仿宋_GB2312" w:cs="黑体"/>
          <w:kern w:val="2"/>
          <w:sz w:val="32"/>
          <w:szCs w:val="24"/>
          <w:lang w:val="en-US" w:eastAsia="zh-CN"/>
        </w:rPr>
      </w:pPr>
      <w:r>
        <w:rPr>
          <w:rFonts w:hint="eastAsia" w:ascii="仿宋_GB2312" w:hAnsi="仿宋_GB2312" w:eastAsia="仿宋_GB2312" w:cs="黑体"/>
          <w:kern w:val="2"/>
          <w:sz w:val="32"/>
          <w:szCs w:val="24"/>
          <w:lang w:val="en-US" w:eastAsia="zh-CN"/>
        </w:rPr>
        <w:t xml:space="preserve">    2.认真录入本人姓名，企业名称、地区和职务等资料后参与培训学习。</w:t>
      </w:r>
    </w:p>
    <w:p>
      <w:pPr>
        <w:pStyle w:val="25"/>
        <w:keepNext w:val="0"/>
        <w:keepLines w:val="0"/>
        <w:pageBreakBefore w:val="0"/>
        <w:widowControl w:val="0"/>
        <w:numPr>
          <w:ilvl w:val="0"/>
          <w:numId w:val="0"/>
        </w:numPr>
        <w:kinsoku/>
        <w:wordWrap w:val="0"/>
        <w:overflowPunct/>
        <w:topLinePunct w:val="0"/>
        <w:autoSpaceDE/>
        <w:autoSpaceDN/>
        <w:bidi w:val="0"/>
        <w:adjustRightInd/>
        <w:snapToGrid/>
        <w:spacing w:before="0" w:beforeLines="0" w:after="0" w:afterLines="0" w:line="560" w:lineRule="exact"/>
        <w:ind w:leftChars="0" w:right="0" w:rightChars="0" w:firstLine="621"/>
        <w:jc w:val="both"/>
        <w:textAlignment w:val="auto"/>
        <w:outlineLvl w:val="9"/>
        <w:rPr>
          <w:rFonts w:hint="eastAsia" w:ascii="仿宋_GB2312" w:hAnsi="仿宋_GB2312" w:eastAsia="仿宋_GB2312" w:cs="黑体"/>
          <w:kern w:val="2"/>
          <w:sz w:val="32"/>
          <w:szCs w:val="24"/>
          <w:lang w:val="en-US" w:eastAsia="zh-CN"/>
        </w:rPr>
      </w:pPr>
      <w:r>
        <w:rPr>
          <w:rFonts w:hint="eastAsia" w:ascii="仿宋_GB2312" w:hAnsi="仿宋_GB2312" w:eastAsia="仿宋_GB2312" w:cs="黑体"/>
          <w:kern w:val="2"/>
          <w:sz w:val="32"/>
          <w:szCs w:val="24"/>
          <w:lang w:val="en-US" w:eastAsia="zh-CN"/>
        </w:rPr>
        <w:t>3.点必学课程“安全复工第一课”全程学完，记录学时(不能拖动显示进度100%就是完成），其他课程选学，并可以免费下载资料线下培训使用。</w:t>
      </w:r>
    </w:p>
    <w:p>
      <w:pPr>
        <w:pStyle w:val="15"/>
        <w:ind w:firstLine="621"/>
        <w:rPr>
          <w:rFonts w:hint="eastAsia"/>
        </w:rPr>
      </w:pPr>
    </w:p>
    <w:p>
      <w:pPr>
        <w:pStyle w:val="15"/>
        <w:ind w:firstLine="621"/>
        <w:rPr>
          <w:rFonts w:hint="eastAsia"/>
        </w:rPr>
        <w:sectPr>
          <w:pgSz w:w="11906" w:h="16838"/>
          <w:pgMar w:top="2098" w:right="1474" w:bottom="1985" w:left="1588" w:header="851" w:footer="1418" w:gutter="0"/>
          <w:pgNumType w:fmt="numberInDash"/>
          <w:cols w:space="720" w:num="1"/>
          <w:docGrid w:type="linesAndChars" w:linePitch="579" w:charSpace="-1844"/>
        </w:sectPr>
      </w:pPr>
    </w:p>
    <w:p>
      <w:pPr>
        <w:pStyle w:val="15"/>
        <w:rPr>
          <w:rFonts w:hint="eastAsia"/>
        </w:rPr>
      </w:pPr>
    </w:p>
    <w:p>
      <w:pPr>
        <w:pStyle w:val="25"/>
        <w:keepNext w:val="0"/>
        <w:keepLines w:val="0"/>
        <w:pageBreakBefore w:val="0"/>
        <w:widowControl w:val="0"/>
        <w:numPr>
          <w:ilvl w:val="0"/>
          <w:numId w:val="0"/>
        </w:numPr>
        <w:kinsoku/>
        <w:wordWrap w:val="0"/>
        <w:overflowPunct/>
        <w:topLinePunct w:val="0"/>
        <w:autoSpaceDE/>
        <w:autoSpaceDN/>
        <w:bidi w:val="0"/>
        <w:adjustRightInd/>
        <w:snapToGrid/>
        <w:spacing w:before="0" w:beforeLines="0" w:after="0" w:afterLines="0" w:line="240" w:lineRule="auto"/>
        <w:ind w:leftChars="0" w:right="0" w:rightChars="0"/>
        <w:jc w:val="left"/>
        <w:textAlignment w:val="auto"/>
        <w:outlineLvl w:val="9"/>
        <w:rPr>
          <w:rFonts w:hint="eastAsia" w:ascii="苹方 常规" w:hAnsi="苹方 常规" w:eastAsia="苹方 常规" w:cs="苹方 常规"/>
          <w:sz w:val="28"/>
          <w:lang w:eastAsia="zh-CN"/>
        </w:rPr>
      </w:pPr>
      <w:r>
        <w:rPr>
          <w:rFonts w:hint="eastAsia" w:ascii="苹方 常规" w:hAnsi="苹方 常规" w:eastAsia="苹方 常规" w:cs="苹方 常规"/>
          <w:sz w:val="28"/>
          <w:lang w:eastAsia="zh-CN"/>
        </w:rPr>
        <w:drawing>
          <wp:inline distT="0" distB="0" distL="114300" distR="114300">
            <wp:extent cx="5563235" cy="7099300"/>
            <wp:effectExtent l="0" t="0" r="18415"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563235" cy="7099300"/>
                    </a:xfrm>
                    <a:prstGeom prst="rect">
                      <a:avLst/>
                    </a:prstGeom>
                    <a:noFill/>
                    <a:ln>
                      <a:noFill/>
                    </a:ln>
                  </pic:spPr>
                </pic:pic>
              </a:graphicData>
            </a:graphic>
          </wp:inline>
        </w:drawing>
      </w:r>
    </w:p>
    <w:p>
      <w:pPr>
        <w:pStyle w:val="21"/>
        <w:keepNext w:val="0"/>
        <w:keepLines w:val="0"/>
        <w:pageBreakBefore w:val="0"/>
        <w:widowControl w:val="0"/>
        <w:numPr>
          <w:ilvl w:val="0"/>
          <w:numId w:val="0"/>
        </w:numPr>
        <w:kinsoku/>
        <w:wordWrap/>
        <w:overflowPunct/>
        <w:topLinePunct w:val="0"/>
        <w:autoSpaceDE/>
        <w:autoSpaceDN/>
        <w:bidi w:val="0"/>
        <w:adjustRightInd/>
        <w:snapToGrid/>
        <w:spacing w:before="0" w:beforeLines="0" w:after="0" w:afterLines="0" w:line="560" w:lineRule="exact"/>
        <w:ind w:firstLine="622" w:firstLineChars="200"/>
        <w:textAlignment w:val="auto"/>
        <w:outlineLvl w:val="9"/>
        <w:rPr>
          <w:rFonts w:hint="eastAsia" w:ascii="仿宋_GB2312" w:hAnsi="仿宋_GB2312" w:eastAsia="仿宋_GB2312" w:cs="黑体"/>
          <w:kern w:val="2"/>
          <w:sz w:val="32"/>
          <w:szCs w:val="24"/>
          <w:lang w:val="en-US" w:eastAsia="zh-CN"/>
        </w:rPr>
      </w:pPr>
      <w:r>
        <w:rPr>
          <w:rFonts w:hint="eastAsia" w:ascii="仿宋_GB2312" w:hAnsi="仿宋_GB2312" w:eastAsia="仿宋_GB2312" w:cs="黑体"/>
          <w:kern w:val="2"/>
          <w:sz w:val="32"/>
          <w:szCs w:val="24"/>
          <w:lang w:val="en-US" w:eastAsia="zh-CN"/>
        </w:rPr>
        <w:t>4.课程中间有任何疑问，点击“客服”留言解决。</w:t>
      </w:r>
    </w:p>
    <w:p>
      <w:pPr>
        <w:pStyle w:val="17"/>
        <w:ind w:left="0" w:leftChars="0" w:right="0" w:rightChars="0" w:firstLine="0" w:firstLineChars="0"/>
        <w:jc w:val="center"/>
        <w:rPr>
          <w:rFonts w:hint="eastAsia" w:ascii="方正小标宋简体" w:hAnsi="方正小标宋简体" w:eastAsia="方正小标宋简体" w:cs="黑体"/>
          <w:kern w:val="2"/>
          <w:sz w:val="44"/>
          <w:szCs w:val="32"/>
          <w:lang w:val="en-US" w:eastAsia="zh-CN"/>
        </w:rPr>
      </w:pPr>
      <w:r>
        <w:rPr>
          <w:rFonts w:hint="eastAsia" w:ascii="方正小标宋简体" w:hAnsi="方正小标宋简体" w:eastAsia="方正小标宋简体" w:cs="黑体"/>
          <w:kern w:val="2"/>
          <w:sz w:val="44"/>
          <w:szCs w:val="32"/>
          <w:lang w:val="en-US" w:eastAsia="zh-CN"/>
        </w:rPr>
        <w:t>企业复产培训台账清单参考（供企业选择）</w:t>
      </w:r>
    </w:p>
    <w:p>
      <w:pPr>
        <w:pStyle w:val="14"/>
        <w:rPr>
          <w:rFonts w:hint="eastAsia"/>
          <w:lang w:val="en-US" w:eastAsia="zh-CN"/>
        </w:rPr>
      </w:pPr>
    </w:p>
    <w:tbl>
      <w:tblPr>
        <w:tblStyle w:val="7"/>
        <w:tblW w:w="808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
        <w:gridCol w:w="4659"/>
        <w:gridCol w:w="2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rPr>
                <w:rFonts w:hint="eastAsia" w:ascii="黑体" w:hAnsi="黑体" w:eastAsia="黑体" w:cs="黑体"/>
                <w:b w:val="0"/>
                <w:bCs w:val="0"/>
                <w:sz w:val="28"/>
                <w:szCs w:val="32"/>
              </w:rPr>
            </w:pPr>
            <w:r>
              <w:rPr>
                <w:rFonts w:hint="eastAsia" w:ascii="黑体" w:hAnsi="黑体" w:eastAsia="黑体" w:cs="黑体"/>
                <w:b w:val="0"/>
                <w:bCs w:val="0"/>
                <w:sz w:val="28"/>
                <w:szCs w:val="32"/>
              </w:rPr>
              <w:t>序号</w:t>
            </w:r>
          </w:p>
        </w:tc>
        <w:tc>
          <w:tcPr>
            <w:tcW w:w="4659" w:type="dxa"/>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1084" w:firstLineChars="400"/>
              <w:jc w:val="center"/>
              <w:textAlignment w:val="auto"/>
              <w:rPr>
                <w:rFonts w:hint="eastAsia" w:ascii="黑体" w:hAnsi="黑体" w:eastAsia="黑体" w:cs="黑体"/>
                <w:b w:val="0"/>
                <w:bCs w:val="0"/>
                <w:sz w:val="28"/>
                <w:szCs w:val="32"/>
                <w:lang w:eastAsia="zh-CN"/>
              </w:rPr>
            </w:pPr>
            <w:r>
              <w:rPr>
                <w:rFonts w:hint="eastAsia" w:ascii="黑体" w:hAnsi="黑体" w:eastAsia="黑体" w:cs="黑体"/>
                <w:b w:val="0"/>
                <w:bCs w:val="0"/>
                <w:sz w:val="28"/>
                <w:szCs w:val="32"/>
                <w:lang w:eastAsia="zh-CN"/>
              </w:rPr>
              <w:t>台账归档清单参考</w:t>
            </w:r>
          </w:p>
        </w:tc>
        <w:tc>
          <w:tcPr>
            <w:tcW w:w="2526" w:type="dxa"/>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rPr>
                <w:rFonts w:hint="eastAsia" w:ascii="黑体" w:hAnsi="黑体" w:eastAsia="黑体" w:cs="黑体"/>
                <w:b w:val="0"/>
                <w:bCs w:val="0"/>
                <w:sz w:val="28"/>
                <w:szCs w:val="32"/>
                <w:lang w:eastAsia="zh-CN"/>
              </w:rPr>
            </w:pPr>
            <w:r>
              <w:rPr>
                <w:rFonts w:hint="eastAsia" w:ascii="黑体" w:hAnsi="黑体" w:eastAsia="黑体" w:cs="黑体"/>
                <w:b w:val="0"/>
                <w:bCs w:val="0"/>
                <w:sz w:val="28"/>
                <w:szCs w:val="32"/>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1</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olor w:val="auto"/>
                <w:sz w:val="28"/>
                <w:szCs w:val="20"/>
                <w:lang w:val="en-US" w:eastAsia="zh-CN"/>
              </w:rPr>
            </w:pPr>
            <w:r>
              <w:rPr>
                <w:rFonts w:hint="eastAsia" w:ascii="仿宋_GB2312" w:hAnsi="仿宋_GB2312" w:eastAsia="仿宋_GB2312"/>
                <w:color w:val="auto"/>
                <w:sz w:val="28"/>
                <w:szCs w:val="20"/>
                <w:lang w:val="en-US" w:eastAsia="zh-CN"/>
              </w:rPr>
              <w:t>企业2022年节后复产方案（方案含有线上培训内容）</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检查方案文件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2</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olor w:val="auto"/>
                <w:sz w:val="28"/>
                <w:szCs w:val="20"/>
                <w:lang w:val="en-US" w:eastAsia="zh-CN"/>
              </w:rPr>
            </w:pPr>
            <w:r>
              <w:rPr>
                <w:rFonts w:hint="eastAsia" w:ascii="仿宋_GB2312" w:hAnsi="仿宋_GB2312" w:eastAsia="仿宋_GB2312" w:cs="Times New Roman"/>
                <w:color w:val="auto"/>
                <w:kern w:val="2"/>
                <w:sz w:val="28"/>
                <w:szCs w:val="20"/>
                <w:lang w:val="en-US" w:eastAsia="zh-CN"/>
              </w:rPr>
              <w:t>企业负责人、安全管理人员线上培训学习</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检查学时凭证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olor w:val="auto"/>
                <w:sz w:val="28"/>
                <w:szCs w:val="20"/>
                <w:lang w:val="en-US" w:eastAsia="zh-CN"/>
              </w:rPr>
              <w:t>其他人员参加“云课堂”线上培训学习</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32"/>
                <w:lang w:val="en-US" w:eastAsia="zh-CN"/>
              </w:rPr>
            </w:pPr>
            <w:r>
              <w:rPr>
                <w:rFonts w:hint="eastAsia" w:ascii="仿宋_GB2312" w:hAnsi="仿宋_GB2312" w:eastAsia="仿宋_GB2312" w:cs="仿宋_GB2312"/>
                <w:sz w:val="28"/>
                <w:szCs w:val="32"/>
                <w:lang w:eastAsia="zh-CN"/>
              </w:rPr>
              <w:t>检查学时凭证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3</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s="Times New Roman"/>
                <w:color w:val="auto"/>
                <w:kern w:val="2"/>
                <w:sz w:val="28"/>
                <w:szCs w:val="20"/>
                <w:lang w:val="en-US" w:eastAsia="zh-CN"/>
              </w:rPr>
              <w:t>企业复产培训人员清单（线上人员名单+线下培训人员名单）</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检查资料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4</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0" w:rightChars="0"/>
              <w:jc w:val="both"/>
              <w:textAlignment w:val="auto"/>
              <w:outlineLvl w:val="9"/>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s="Times New Roman"/>
                <w:color w:val="auto"/>
                <w:kern w:val="2"/>
                <w:sz w:val="28"/>
                <w:szCs w:val="20"/>
                <w:lang w:val="en-US" w:eastAsia="zh-CN"/>
              </w:rPr>
              <w:t>企业组织班组或全体员工线下集中学习</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kern w:val="2"/>
                <w:sz w:val="28"/>
                <w:szCs w:val="32"/>
                <w:lang w:val="en-US" w:eastAsia="zh-CN"/>
              </w:rPr>
            </w:pPr>
            <w:r>
              <w:rPr>
                <w:rFonts w:hint="eastAsia" w:ascii="仿宋_GB2312" w:hAnsi="仿宋_GB2312" w:eastAsia="仿宋_GB2312" w:cs="仿宋_GB2312"/>
                <w:sz w:val="28"/>
                <w:szCs w:val="32"/>
                <w:lang w:eastAsia="zh-CN"/>
              </w:rPr>
              <w:t>图片和签到表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5</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271" w:firstLineChars="100"/>
              <w:jc w:val="both"/>
              <w:textAlignment w:val="auto"/>
              <w:outlineLvl w:val="9"/>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s="Times New Roman"/>
                <w:color w:val="auto"/>
                <w:kern w:val="2"/>
                <w:sz w:val="28"/>
                <w:szCs w:val="20"/>
                <w:lang w:val="en-US" w:eastAsia="zh-CN"/>
              </w:rPr>
              <w:t>企业检查设备、安全隐患的清单</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图片和记录情况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6</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s="Times New Roman"/>
                <w:color w:val="auto"/>
                <w:kern w:val="2"/>
                <w:sz w:val="28"/>
                <w:szCs w:val="20"/>
                <w:lang w:val="en-US" w:eastAsia="zh-CN"/>
              </w:rPr>
              <w:t>企业新员工、转岗员工培训</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图片和资料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67" w:hRule="atLeast"/>
          <w:jc w:val="center"/>
        </w:trPr>
        <w:tc>
          <w:tcPr>
            <w:tcW w:w="902"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7</w:t>
            </w:r>
          </w:p>
        </w:tc>
        <w:tc>
          <w:tcPr>
            <w:tcW w:w="4659"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s="Times New Roman"/>
                <w:color w:val="auto"/>
                <w:kern w:val="2"/>
                <w:sz w:val="28"/>
                <w:szCs w:val="20"/>
                <w:lang w:val="en-US" w:eastAsia="zh-CN"/>
              </w:rPr>
              <w:t>其他培训资料</w:t>
            </w:r>
          </w:p>
        </w:tc>
        <w:tc>
          <w:tcPr>
            <w:tcW w:w="2526" w:type="dxa"/>
            <w:vAlign w:val="center"/>
          </w:tcPr>
          <w:p>
            <w:pPr>
              <w:pStyle w:val="26"/>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542" w:firstLineChars="200"/>
              <w:jc w:val="both"/>
              <w:textAlignment w:val="auto"/>
              <w:outlineLvl w:val="9"/>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台账备查</w:t>
            </w:r>
          </w:p>
        </w:tc>
      </w:tr>
    </w:tbl>
    <w:p>
      <w:pPr>
        <w:pStyle w:val="21"/>
        <w:rPr>
          <w:rFonts w:hint="eastAsia" w:ascii="仿宋_GB2312" w:hAnsi="仿宋_GB2312" w:eastAsia="仿宋_GB2312" w:cs="Times New Roman"/>
          <w:color w:val="auto"/>
          <w:kern w:val="2"/>
          <w:sz w:val="28"/>
          <w:szCs w:val="20"/>
          <w:lang w:val="en-US" w:eastAsia="zh-CN"/>
        </w:rPr>
      </w:pPr>
      <w:r>
        <w:rPr>
          <w:rFonts w:hint="eastAsia" w:ascii="仿宋_GB2312" w:hAnsi="仿宋_GB2312" w:eastAsia="仿宋_GB2312" w:cs="Times New Roman"/>
          <w:color w:val="auto"/>
          <w:kern w:val="2"/>
          <w:sz w:val="28"/>
          <w:szCs w:val="20"/>
          <w:lang w:val="en-US" w:eastAsia="zh-CN"/>
        </w:rPr>
        <w:t>备注：各企业复工培训严格按照最新防疫要求并结合按照区、镇（街）要求开展，并做好台账归档备查。</w:t>
      </w:r>
    </w:p>
    <w:p>
      <w:pPr>
        <w:pStyle w:val="24"/>
        <w:rPr>
          <w:rFonts w:hint="eastAsia" w:ascii="黑体" w:eastAsia="黑体"/>
          <w:sz w:val="44"/>
          <w:szCs w:val="44"/>
          <w:lang w:val="en-US" w:eastAsia="zh-CN"/>
        </w:rPr>
      </w:pPr>
      <w:r>
        <w:rPr>
          <w:rFonts w:hint="eastAsia" w:ascii="黑体" w:eastAsia="黑体"/>
          <w:sz w:val="32"/>
          <w:szCs w:val="18"/>
          <w:lang w:val="en-US" w:eastAsia="zh-CN"/>
        </w:rPr>
        <w:br w:type="page"/>
      </w:r>
      <w:r>
        <w:rPr>
          <w:rFonts w:hint="eastAsia" w:ascii="黑体" w:eastAsia="黑体"/>
          <w:sz w:val="32"/>
          <w:szCs w:val="18"/>
          <w:lang w:val="en-US" w:eastAsia="zh-CN"/>
        </w:rPr>
        <w:t>附件4</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黑体" w:eastAsia="黑体"/>
          <w:sz w:val="44"/>
          <w:szCs w:val="44"/>
          <w:lang w:val="en-US" w:eastAsia="zh-CN"/>
        </w:rPr>
        <w:t xml:space="preserve">                                                                                         </w:t>
      </w:r>
      <w:r>
        <w:rPr>
          <w:rFonts w:hint="eastAsia" w:ascii="方正小标宋简体" w:hAnsi="方正小标宋简体" w:eastAsia="方正小标宋简体" w:cs="方正小标宋简体"/>
          <w:sz w:val="44"/>
          <w:szCs w:val="44"/>
          <w:lang w:val="en-US" w:eastAsia="zh-CN"/>
        </w:rPr>
        <w:t>2022年安全生产培训学习资料汇总</w:t>
      </w:r>
    </w:p>
    <w:p>
      <w:pPr>
        <w:pStyle w:val="28"/>
        <w:keepNext w:val="0"/>
        <w:keepLines w:val="0"/>
        <w:pageBreakBefore w:val="0"/>
        <w:widowControl w:val="0"/>
        <w:suppressLineNumbers w:val="0"/>
        <w:kinsoku/>
        <w:wordWrap/>
        <w:overflowPunct w:val="0"/>
        <w:topLinePunct w:val="0"/>
        <w:autoSpaceDE/>
        <w:autoSpaceDN/>
        <w:bidi w:val="0"/>
        <w:adjustRightInd/>
        <w:snapToGrid/>
        <w:spacing w:before="0" w:beforeLines="0" w:beforeAutospacing="0" w:after="0" w:afterLines="0" w:afterAutospacing="0" w:line="560" w:lineRule="exact"/>
        <w:ind w:left="0" w:leftChars="0" w:right="0" w:rightChars="0" w:firstLine="622" w:firstLineChars="200"/>
        <w:jc w:val="both"/>
        <w:textAlignment w:val="auto"/>
        <w:rPr>
          <w:rFonts w:hint="eastAsia" w:ascii="仿宋_GB2312" w:hAnsi="仿宋_GB2312" w:eastAsia="仿宋_GB2312" w:cs="仿宋_GB2312"/>
          <w:kern w:val="2"/>
          <w:sz w:val="32"/>
          <w:szCs w:val="32"/>
          <w:lang w:eastAsia="zh-CN"/>
        </w:rPr>
      </w:pPr>
      <w:r>
        <w:rPr>
          <w:rFonts w:hint="eastAsia" w:ascii="黑体" w:hAnsi="黑体" w:eastAsia="黑体" w:cs="黑体"/>
          <w:kern w:val="2"/>
          <w:sz w:val="32"/>
          <w:szCs w:val="32"/>
          <w:lang w:eastAsia="zh-CN"/>
        </w:rPr>
        <w:t>一线三排：</w:t>
      </w:r>
      <w:r>
        <w:rPr>
          <w:rFonts w:hint="eastAsia" w:ascii="仿宋_GB2312" w:hAnsi="仿宋_GB2312" w:eastAsia="仿宋_GB2312" w:cs="仿宋_GB2312"/>
          <w:b/>
          <w:bCs/>
          <w:kern w:val="2"/>
          <w:sz w:val="32"/>
          <w:szCs w:val="32"/>
          <w:lang w:val="en-US" w:eastAsia="zh-CN"/>
        </w:rPr>
        <w:t>1.</w:t>
      </w:r>
      <w:r>
        <w:rPr>
          <w:rFonts w:hint="default" w:ascii="仿宋_GB2312" w:hAnsi="仿宋_GB2312" w:eastAsia="仿宋_GB2312" w:cs="仿宋_GB2312"/>
          <w:b/>
          <w:bCs/>
          <w:kern w:val="2"/>
          <w:sz w:val="32"/>
          <w:szCs w:val="32"/>
          <w:lang w:eastAsia="zh-CN"/>
        </w:rPr>
        <w:t>坚守红线：</w:t>
      </w:r>
      <w:r>
        <w:rPr>
          <w:rFonts w:hint="default" w:ascii="仿宋_GB2312" w:hAnsi="仿宋_GB2312" w:eastAsia="仿宋_GB2312" w:cs="仿宋_GB2312"/>
          <w:kern w:val="2"/>
          <w:sz w:val="32"/>
          <w:szCs w:val="32"/>
          <w:lang w:eastAsia="zh-CN"/>
        </w:rPr>
        <w:t>坚守发展绝不能以牺牲人的生命为代价这条不可逾越的红线。</w:t>
      </w:r>
      <w:r>
        <w:rPr>
          <w:rFonts w:hint="eastAsia" w:ascii="仿宋_GB2312" w:hAnsi="仿宋_GB2312" w:eastAsia="仿宋_GB2312" w:cs="仿宋_GB2312"/>
          <w:b/>
          <w:bCs/>
          <w:kern w:val="2"/>
          <w:sz w:val="32"/>
          <w:szCs w:val="32"/>
          <w:lang w:val="en-US" w:eastAsia="zh-CN"/>
        </w:rPr>
        <w:t>2.</w:t>
      </w:r>
      <w:r>
        <w:rPr>
          <w:rFonts w:hint="default" w:ascii="仿宋_GB2312" w:hAnsi="仿宋_GB2312" w:eastAsia="仿宋_GB2312" w:cs="仿宋_GB2312"/>
          <w:b/>
          <w:bCs/>
          <w:kern w:val="2"/>
          <w:sz w:val="32"/>
          <w:szCs w:val="32"/>
          <w:lang w:eastAsia="zh-CN"/>
        </w:rPr>
        <w:t>全面排查</w:t>
      </w:r>
      <w:r>
        <w:rPr>
          <w:rFonts w:hint="default" w:ascii="仿宋_GB2312" w:hAnsi="仿宋_GB2312" w:eastAsia="仿宋_GB2312" w:cs="仿宋_GB2312"/>
          <w:kern w:val="2"/>
          <w:sz w:val="32"/>
          <w:szCs w:val="32"/>
          <w:lang w:eastAsia="zh-CN"/>
        </w:rPr>
        <w:t>：组织人员对本单位的隐患进行排查并进行登记，建立隐患信息档案。</w:t>
      </w:r>
      <w:r>
        <w:rPr>
          <w:rFonts w:hint="default" w:ascii="仿宋_GB2312" w:hAnsi="仿宋_GB2312" w:eastAsia="仿宋_GB2312" w:cs="仿宋_GB2312"/>
          <w:b/>
          <w:bCs/>
          <w:kern w:val="2"/>
          <w:sz w:val="32"/>
          <w:szCs w:val="32"/>
          <w:lang w:eastAsia="zh-CN"/>
        </w:rPr>
        <w:t>科学排序：</w:t>
      </w:r>
      <w:r>
        <w:rPr>
          <w:rFonts w:hint="default" w:ascii="仿宋_GB2312" w:hAnsi="仿宋_GB2312" w:eastAsia="仿宋_GB2312" w:cs="仿宋_GB2312"/>
          <w:kern w:val="2"/>
          <w:sz w:val="32"/>
          <w:szCs w:val="32"/>
          <w:lang w:eastAsia="zh-CN"/>
        </w:rPr>
        <w:t>依据企业管理层级、生产场所、生产环节等因素对隐患进行分类分级，形成隐患清单。</w:t>
      </w:r>
      <w:r>
        <w:rPr>
          <w:rFonts w:hint="default" w:ascii="仿宋_GB2312" w:hAnsi="仿宋_GB2312" w:eastAsia="仿宋_GB2312" w:cs="仿宋_GB2312"/>
          <w:b/>
          <w:bCs/>
          <w:kern w:val="2"/>
          <w:sz w:val="32"/>
          <w:szCs w:val="32"/>
          <w:lang w:eastAsia="zh-CN"/>
        </w:rPr>
        <w:t>有效排除：</w:t>
      </w:r>
      <w:r>
        <w:rPr>
          <w:rFonts w:hint="default" w:ascii="仿宋_GB2312" w:hAnsi="仿宋_GB2312" w:eastAsia="仿宋_GB2312" w:cs="仿宋_GB2312"/>
          <w:kern w:val="2"/>
          <w:sz w:val="32"/>
          <w:szCs w:val="32"/>
          <w:lang w:eastAsia="zh-CN"/>
        </w:rPr>
        <w:t>对排查出来的隐患进行消除或控制。</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风险管控“四早”措施：</w:t>
      </w:r>
      <w:r>
        <w:rPr>
          <w:rFonts w:hint="eastAsia" w:ascii="仿宋_GB2312" w:hAnsi="仿宋_GB2312" w:eastAsia="仿宋_GB2312" w:cs="仿宋_GB2312"/>
          <w:sz w:val="32"/>
          <w:szCs w:val="32"/>
          <w:lang w:eastAsia="zh-CN"/>
        </w:rPr>
        <w:t>早发现、早研判、早预警、早控制。</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隐患整治“五到位”：</w:t>
      </w:r>
      <w:r>
        <w:rPr>
          <w:rFonts w:hint="eastAsia" w:ascii="仿宋_GB2312" w:hAnsi="仿宋_GB2312" w:eastAsia="仿宋_GB2312" w:cs="仿宋_GB2312"/>
          <w:sz w:val="32"/>
          <w:szCs w:val="32"/>
          <w:lang w:eastAsia="zh-CN"/>
        </w:rPr>
        <w:t>整改措施、责任、资金、时限和预案到位。</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化工行业特殊作业 “四令三制”</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eastAsia="zh-CN"/>
        </w:rPr>
        <w:t>动火令、动工令、复工令、停工令，有限空间作业票制、值班室24小时值班制、领导带班值班制。广东省应急管理厅出台了《广东省应急管理厅关于严格落实化工行业特殊作业“四令三制”的通知》（粤应急函〔2020〕196号），在化工企业实施动火令、动工令、复工令、停工令、有限空间作业票制、值班室（中控室）24小时值班制、领导带班值班制。若属于正常生产工序的，无需每天取得停工令。请有关单位严格执行化工行业特殊作业“四令三制”。</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有限空间作业“七不准”</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eastAsia="zh-CN"/>
        </w:rPr>
        <w:t>未经风险辨识不准作业、未经通风和检测合格不准作业、不佩戴劳动防护用品不准作业、没有监护不准作业、电气设备不符合规定不准作业、未经审批不准作业、未经培训演练不准作业。</w:t>
      </w:r>
    </w:p>
    <w:p>
      <w:pPr>
        <w:pStyle w:val="28"/>
        <w:keepNext w:val="0"/>
        <w:keepLines w:val="0"/>
        <w:pageBreakBefore w:val="0"/>
        <w:widowControl w:val="0"/>
        <w:suppressLineNumbers w:val="0"/>
        <w:kinsoku/>
        <w:wordWrap/>
        <w:overflowPunct w:val="0"/>
        <w:topLinePunct w:val="0"/>
        <w:autoSpaceDE/>
        <w:autoSpaceDN/>
        <w:bidi w:val="0"/>
        <w:adjustRightInd/>
        <w:snapToGrid/>
        <w:spacing w:before="0" w:beforeLines="0" w:beforeAutospacing="0" w:after="0" w:afterLines="0" w:afterAutospacing="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高处作业“五个必须”</w:t>
      </w:r>
      <w:r>
        <w:rPr>
          <w:rFonts w:hint="eastAsia" w:ascii="黑体" w:hAnsi="黑体" w:eastAsia="黑体" w:cs="黑体"/>
          <w:kern w:val="2"/>
          <w:sz w:val="32"/>
          <w:szCs w:val="32"/>
          <w:lang w:eastAsia="zh-CN"/>
        </w:rPr>
        <w:t>：</w:t>
      </w:r>
      <w:r>
        <w:rPr>
          <w:rFonts w:hint="eastAsia" w:ascii="仿宋_GB2312" w:hAnsi="仿宋_GB2312" w:eastAsia="仿宋_GB2312" w:cs="仿宋_GB2312"/>
          <w:sz w:val="32"/>
          <w:szCs w:val="32"/>
          <w:lang w:eastAsia="zh-CN"/>
        </w:rPr>
        <w:t>必须培训持证上岗、必须实行作业审批、必须做好个人防护、必须落实工程措施、必须安排专人监护。</w:t>
      </w:r>
    </w:p>
    <w:p>
      <w:pPr>
        <w:pStyle w:val="28"/>
        <w:keepNext w:val="0"/>
        <w:keepLines w:val="0"/>
        <w:pageBreakBefore w:val="0"/>
        <w:widowControl w:val="0"/>
        <w:suppressLineNumbers w:val="0"/>
        <w:kinsoku/>
        <w:wordWrap/>
        <w:overflowPunct w:val="0"/>
        <w:topLinePunct w:val="0"/>
        <w:autoSpaceDE/>
        <w:autoSpaceDN/>
        <w:bidi w:val="0"/>
        <w:adjustRightInd/>
        <w:snapToGrid/>
        <w:spacing w:before="0" w:beforeLines="0" w:beforeAutospacing="0" w:after="0" w:afterLines="0" w:afterAutospacing="0" w:line="560" w:lineRule="exact"/>
        <w:ind w:left="0" w:leftChars="0" w:right="0" w:rightChars="0" w:firstLine="622" w:firstLineChars="200"/>
        <w:jc w:val="both"/>
        <w:textAlignment w:val="auto"/>
        <w:rPr>
          <w:rFonts w:hint="eastAsia" w:ascii="仿宋_GB2312" w:hAnsi="仿宋_GB2312" w:eastAsia="仿宋_GB2312" w:cs="仿宋_GB2312"/>
          <w:kern w:val="2"/>
          <w:sz w:val="32"/>
          <w:szCs w:val="32"/>
          <w:lang w:eastAsia="zh-CN"/>
        </w:rPr>
      </w:pPr>
      <w:r>
        <w:rPr>
          <w:rFonts w:hint="eastAsia" w:ascii="黑体" w:hAnsi="黑体" w:eastAsia="黑体" w:cs="黑体"/>
          <w:kern w:val="2"/>
          <w:sz w:val="32"/>
          <w:szCs w:val="32"/>
          <w:lang w:eastAsia="zh-CN"/>
        </w:rPr>
        <w:t>动火作业“三个一律”：</w:t>
      </w:r>
      <w:r>
        <w:rPr>
          <w:rFonts w:hint="default" w:ascii="仿宋_GB2312" w:hAnsi="仿宋_GB2312" w:eastAsia="仿宋_GB2312" w:cs="仿宋_GB2312"/>
          <w:kern w:val="2"/>
          <w:sz w:val="32"/>
          <w:szCs w:val="32"/>
          <w:lang w:eastAsia="zh-CN"/>
        </w:rPr>
        <w:t>一律不准进行交叉作业</w:t>
      </w:r>
      <w:r>
        <w:rPr>
          <w:rFonts w:hint="eastAsia" w:ascii="仿宋_GB2312" w:hAnsi="仿宋_GB2312" w:eastAsia="仿宋_GB2312" w:cs="仿宋_GB2312"/>
          <w:kern w:val="2"/>
          <w:sz w:val="32"/>
          <w:szCs w:val="32"/>
          <w:lang w:eastAsia="zh-CN"/>
        </w:rPr>
        <w:t>、</w:t>
      </w:r>
      <w:r>
        <w:rPr>
          <w:rFonts w:hint="default" w:ascii="仿宋_GB2312" w:hAnsi="仿宋_GB2312" w:eastAsia="仿宋_GB2312" w:cs="仿宋_GB2312"/>
          <w:kern w:val="2"/>
          <w:sz w:val="32"/>
          <w:szCs w:val="32"/>
          <w:lang w:eastAsia="zh-CN"/>
        </w:rPr>
        <w:t>一律清除现场可燃物质</w:t>
      </w:r>
      <w:r>
        <w:rPr>
          <w:rFonts w:hint="eastAsia" w:ascii="仿宋_GB2312" w:hAnsi="仿宋_GB2312" w:eastAsia="仿宋_GB2312" w:cs="仿宋_GB2312"/>
          <w:kern w:val="2"/>
          <w:sz w:val="32"/>
          <w:szCs w:val="32"/>
          <w:lang w:eastAsia="zh-CN"/>
        </w:rPr>
        <w:t>、</w:t>
      </w:r>
      <w:r>
        <w:rPr>
          <w:rFonts w:hint="default" w:ascii="仿宋_GB2312" w:hAnsi="仿宋_GB2312" w:eastAsia="仿宋_GB2312" w:cs="仿宋_GB2312"/>
          <w:kern w:val="2"/>
          <w:sz w:val="32"/>
          <w:szCs w:val="32"/>
          <w:lang w:eastAsia="zh-CN"/>
        </w:rPr>
        <w:t>一律检测可燃气体含量、保持良好通风。</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渔船安全生产“六个100％”</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eastAsia="zh-CN"/>
        </w:rPr>
        <w:t>出海渔船100%检验、出海船员100%持证上岗、安全检查100%实施、安全规程100%执行、防台要求100%落实、涉渔“三无”船舶100%清理。</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危大工程“六不施工”</w:t>
      </w:r>
      <w:r>
        <w:rPr>
          <w:rFonts w:hint="eastAsia" w:ascii="黑体" w:hAnsi="黑体" w:eastAsia="黑体" w:cs="黑体"/>
          <w:sz w:val="32"/>
          <w:szCs w:val="32"/>
          <w:lang w:val="en-US" w:eastAsia="zh-CN"/>
        </w:rPr>
        <w:t>:</w:t>
      </w:r>
      <w:r>
        <w:rPr>
          <w:rFonts w:hint="eastAsia" w:ascii="仿宋_GB2312" w:hAnsi="仿宋_GB2312" w:eastAsia="仿宋_GB2312" w:cs="仿宋_GB2312"/>
          <w:sz w:val="32"/>
          <w:szCs w:val="32"/>
          <w:lang w:eastAsia="zh-CN"/>
        </w:rPr>
        <w:t>未落实前期保障措施不施工，未编制专项施工方案、未按规定审批或论证方案、未按方案落实有关措施不施工，未进行安全技术交底不施工，未进行现场监督不施工，未进行第三方监测不施工，未经验收合格不施工。</w:t>
      </w:r>
    </w:p>
    <w:p>
      <w:pPr>
        <w:pStyle w:val="21"/>
        <w:keepNext w:val="0"/>
        <w:keepLines w:val="0"/>
        <w:pageBreakBefore w:val="0"/>
        <w:widowControl w:val="0"/>
        <w:kinsoku/>
        <w:wordWrap/>
        <w:overflowPunct w:val="0"/>
        <w:topLinePunct w:val="0"/>
        <w:autoSpaceDE/>
        <w:autoSpaceDN/>
        <w:bidi w:val="0"/>
        <w:adjustRightInd/>
        <w:snapToGrid/>
        <w:spacing w:before="0" w:beforeLines="0" w:after="0" w:afterLines="0" w:line="560" w:lineRule="exact"/>
        <w:ind w:left="0" w:leftChars="0" w:right="0" w:rightChars="0" w:firstLine="622"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砂石船“六禁”</w:t>
      </w:r>
      <w:r>
        <w:rPr>
          <w:rFonts w:hint="eastAsia" w:ascii="仿宋_GB2312" w:hAnsi="仿宋_GB2312" w:eastAsia="仿宋_GB2312" w:cs="仿宋_GB2312"/>
          <w:sz w:val="32"/>
          <w:szCs w:val="32"/>
          <w:lang w:eastAsia="zh-CN"/>
        </w:rPr>
        <w:t>：禁止非法开采、装卸海砂；禁止未经批准从事海上采砂运砂活动；禁止违反规范航行作业；禁止配员不足航行作业；禁止采用私自改装船舶；禁止恶劣天气海况冒险航行作业。</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eastAsia" w:ascii="方正小标宋简体" w:hAnsi="方正小标宋简体" w:eastAsia="方正小标宋简体" w:cs="方正小标宋简体"/>
          <w:sz w:val="44"/>
          <w:szCs w:val="44"/>
          <w:lang w:val="en-US" w:eastAsia="zh-CN"/>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Lines="0" w:beforeAutospacing="0" w:after="0" w:afterLines="0" w:afterAutospacing="0" w:line="560" w:lineRule="exact"/>
        <w:ind w:right="0" w:rightChars="0"/>
        <w:jc w:val="both"/>
        <w:textAlignment w:val="auto"/>
        <w:outlineLvl w:val="9"/>
        <w:rPr>
          <w:rFonts w:hint="eastAsia" w:ascii="方正小标宋简体" w:hAnsi="方正小标宋简体" w:eastAsia="方正小标宋简体" w:cs="方正小标宋简体"/>
          <w:sz w:val="44"/>
          <w:szCs w:val="44"/>
          <w:lang w:eastAsia="zh-CN"/>
        </w:rPr>
      </w:pPr>
    </w:p>
    <w:p>
      <w:pPr>
        <w:pStyle w:val="24"/>
        <w:ind w:left="0" w:leftChars="0" w:right="0" w:rightChars="0" w:firstLine="0" w:firstLineChars="0"/>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4"/>
          <w:szCs w:val="44"/>
          <w:lang w:eastAsia="zh-CN"/>
        </w:rPr>
        <w:br w:type="page"/>
      </w:r>
      <w:r>
        <w:rPr>
          <w:rFonts w:hint="eastAsia" w:ascii="方正小标宋简体" w:hAnsi="方正小标宋简体" w:eastAsia="方正小标宋简体" w:cs="方正小标宋简体"/>
          <w:sz w:val="40"/>
          <w:szCs w:val="40"/>
          <w:lang w:eastAsia="zh-CN"/>
        </w:rPr>
        <w:t>佛山市企业</w:t>
      </w:r>
      <w:r>
        <w:rPr>
          <w:rFonts w:hint="eastAsia" w:ascii="方正小标宋简体" w:hAnsi="方正小标宋简体" w:eastAsia="方正小标宋简体" w:cs="方正小标宋简体"/>
          <w:sz w:val="40"/>
          <w:szCs w:val="40"/>
        </w:rPr>
        <w:t>节后复工复产安全</w:t>
      </w:r>
      <w:r>
        <w:rPr>
          <w:rFonts w:hint="eastAsia" w:ascii="方正小标宋简体" w:hAnsi="方正小标宋简体" w:eastAsia="方正小标宋简体" w:cs="方正小标宋简体"/>
          <w:sz w:val="40"/>
          <w:szCs w:val="40"/>
          <w:lang w:eastAsia="zh-CN"/>
        </w:rPr>
        <w:t>生产</w:t>
      </w:r>
      <w:r>
        <w:rPr>
          <w:rFonts w:hint="eastAsia" w:ascii="方正小标宋简体" w:hAnsi="方正小标宋简体" w:eastAsia="方正小标宋简体" w:cs="方正小标宋简体"/>
          <w:sz w:val="40"/>
          <w:szCs w:val="40"/>
        </w:rPr>
        <w:t>自查清单</w:t>
      </w:r>
    </w:p>
    <w:p>
      <w:pPr>
        <w:pStyle w:val="29"/>
        <w:jc w:val="both"/>
      </w:pPr>
    </w:p>
    <w:tbl>
      <w:tblPr>
        <w:tblStyle w:val="7"/>
        <w:tblW w:w="967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480"/>
        <w:gridCol w:w="855"/>
        <w:gridCol w:w="10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blHeader/>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排查内容</w:t>
            </w:r>
          </w:p>
        </w:tc>
        <w:tc>
          <w:tcPr>
            <w:tcW w:w="648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排查要求</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排查</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结果</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备注</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黑体" w:hAnsi="黑体" w:eastAsia="黑体" w:cs="黑体"/>
                <w:sz w:val="24"/>
                <w:szCs w:val="24"/>
                <w:vertAlign w:val="baseline"/>
                <w:lang w:eastAsia="zh-CN"/>
              </w:rPr>
            </w:pPr>
            <w:r>
              <w:rPr>
                <w:rFonts w:hint="eastAsia" w:ascii="黑体" w:hAnsi="黑体" w:eastAsia="黑体" w:cs="黑体"/>
                <w:sz w:val="24"/>
                <w:szCs w:val="24"/>
                <w:vertAlign w:val="baseline"/>
                <w:lang w:eastAsia="zh-CN"/>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资质证照</w:t>
            </w:r>
          </w:p>
        </w:tc>
        <w:tc>
          <w:tcPr>
            <w:tcW w:w="6480" w:type="dxa"/>
            <w:vAlign w:val="center"/>
          </w:tcPr>
          <w:p>
            <w:pPr>
              <w:pStyle w:val="29"/>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公司生产许可证等证照是否在有效期内；</w:t>
            </w:r>
          </w:p>
          <w:p>
            <w:pPr>
              <w:pStyle w:val="30"/>
              <w:keepNext w:val="0"/>
              <w:keepLines w:val="0"/>
              <w:pageBreakBefore w:val="0"/>
              <w:widowControl w:val="0"/>
              <w:numPr>
                <w:ilvl w:val="0"/>
                <w:numId w:val="1"/>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外包服务方是否具备资质和施工条件。</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主要</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负责人</w:t>
            </w:r>
          </w:p>
        </w:tc>
        <w:tc>
          <w:tcPr>
            <w:tcW w:w="6480" w:type="dxa"/>
            <w:vAlign w:val="center"/>
          </w:tcPr>
          <w:p>
            <w:pPr>
              <w:pStyle w:val="29"/>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公司主要负责人是否履行法定职责；</w:t>
            </w:r>
          </w:p>
          <w:p>
            <w:pPr>
              <w:pStyle w:val="30"/>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公司主要负责人是否制定复工复产工作方案；</w:t>
            </w:r>
          </w:p>
          <w:p>
            <w:pPr>
              <w:pStyle w:val="30"/>
              <w:keepNext w:val="0"/>
              <w:keepLines w:val="0"/>
              <w:pageBreakBefore w:val="0"/>
              <w:widowControl w:val="0"/>
              <w:numPr>
                <w:ilvl w:val="0"/>
                <w:numId w:val="2"/>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公司主要负责人督促、检查被单位的安全生产工作情况。</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安全生产管理机构</w:t>
            </w:r>
          </w:p>
        </w:tc>
        <w:tc>
          <w:tcPr>
            <w:tcW w:w="6480" w:type="dxa"/>
            <w:vAlign w:val="center"/>
          </w:tcPr>
          <w:p>
            <w:pPr>
              <w:pStyle w:val="29"/>
              <w:keepNext w:val="0"/>
              <w:keepLines w:val="0"/>
              <w:pageBreakBefore w:val="0"/>
              <w:widowControl w:val="0"/>
              <w:numPr>
                <w:ilvl w:val="0"/>
                <w:numId w:val="3"/>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公司安全生产管理机构人员是否在岗在位；</w:t>
            </w:r>
          </w:p>
          <w:p>
            <w:pPr>
              <w:pStyle w:val="30"/>
              <w:keepNext w:val="0"/>
              <w:keepLines w:val="0"/>
              <w:pageBreakBefore w:val="0"/>
              <w:widowControl w:val="0"/>
              <w:numPr>
                <w:ilvl w:val="0"/>
                <w:numId w:val="3"/>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安全生产管理机构或者管理人员是否有针对复工复产检查本单位的安全生产状况，及时排查生产安全事故隐患，提出改进安全生产管理的建议。</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4"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安全生产文件落实情况</w:t>
            </w:r>
          </w:p>
        </w:tc>
        <w:tc>
          <w:tcPr>
            <w:tcW w:w="6480" w:type="dxa"/>
            <w:vAlign w:val="center"/>
          </w:tcPr>
          <w:p>
            <w:pPr>
              <w:pStyle w:val="29"/>
              <w:keepNext w:val="0"/>
              <w:keepLines w:val="0"/>
              <w:pageBreakBefore w:val="0"/>
              <w:widowControl w:val="0"/>
              <w:numPr>
                <w:ilvl w:val="0"/>
                <w:numId w:val="4"/>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公司拟节后复工复产方案的文件精神是否及时传达学习；</w:t>
            </w:r>
          </w:p>
          <w:p>
            <w:pPr>
              <w:pStyle w:val="30"/>
              <w:keepNext w:val="0"/>
              <w:keepLines w:val="0"/>
              <w:pageBreakBefore w:val="0"/>
              <w:widowControl w:val="0"/>
              <w:numPr>
                <w:ilvl w:val="0"/>
                <w:numId w:val="4"/>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公司对节后疫情防控、安全生产工作的决策部署是否贯彻落实。</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安全生产规章制度</w:t>
            </w:r>
          </w:p>
        </w:tc>
        <w:tc>
          <w:tcPr>
            <w:tcW w:w="6480" w:type="dxa"/>
            <w:vAlign w:val="center"/>
          </w:tcPr>
          <w:p>
            <w:pPr>
              <w:pStyle w:val="29"/>
              <w:keepNext w:val="0"/>
              <w:keepLines w:val="0"/>
              <w:pageBreakBefore w:val="0"/>
              <w:widowControl w:val="0"/>
              <w:numPr>
                <w:ilvl w:val="0"/>
                <w:numId w:val="5"/>
              </w:numPr>
              <w:kinsoku/>
              <w:wordWrap/>
              <w:overflowPunct/>
              <w:topLinePunct w:val="0"/>
              <w:autoSpaceDE/>
              <w:autoSpaceDN/>
              <w:bidi w:val="0"/>
              <w:adjustRightInd/>
              <w:snapToGrid/>
              <w:spacing w:before="0" w:beforeLines="0" w:after="0" w:afterLines="0" w:line="360" w:lineRule="exact"/>
              <w:ind w:left="-22"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安全生产规章制度是否涵盖复工复产安全指引内容；</w:t>
            </w:r>
          </w:p>
          <w:p>
            <w:pPr>
              <w:pStyle w:val="30"/>
              <w:keepNext w:val="0"/>
              <w:keepLines w:val="0"/>
              <w:pageBreakBefore w:val="0"/>
              <w:widowControl w:val="0"/>
              <w:numPr>
                <w:ilvl w:val="0"/>
                <w:numId w:val="5"/>
              </w:numPr>
              <w:kinsoku/>
              <w:wordWrap/>
              <w:overflowPunct/>
              <w:topLinePunct w:val="0"/>
              <w:autoSpaceDE/>
              <w:autoSpaceDN/>
              <w:bidi w:val="0"/>
              <w:adjustRightInd/>
              <w:snapToGrid/>
              <w:spacing w:before="0" w:beforeLines="0" w:after="0" w:afterLines="0" w:line="360" w:lineRule="exact"/>
              <w:ind w:left="-22"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安全生产规章制度、设备设施操作规程是否依规定张贴；</w:t>
            </w:r>
          </w:p>
          <w:p>
            <w:pPr>
              <w:pStyle w:val="30"/>
              <w:keepNext w:val="0"/>
              <w:keepLines w:val="0"/>
              <w:pageBreakBefore w:val="0"/>
              <w:widowControl w:val="0"/>
              <w:numPr>
                <w:ilvl w:val="0"/>
                <w:numId w:val="5"/>
              </w:numPr>
              <w:kinsoku/>
              <w:wordWrap/>
              <w:overflowPunct/>
              <w:topLinePunct w:val="0"/>
              <w:autoSpaceDE/>
              <w:autoSpaceDN/>
              <w:bidi w:val="0"/>
              <w:adjustRightInd/>
              <w:snapToGrid/>
              <w:spacing w:before="0" w:beforeLines="0" w:after="0" w:afterLines="0" w:line="360" w:lineRule="exact"/>
              <w:ind w:left="-22"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vertAlign w:val="baseline"/>
                <w:lang w:eastAsia="zh-CN"/>
              </w:rPr>
              <w:t>重点环节、重要设置设备是否表明责任人或者悬挂责任牌，预防事故发生。</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安全生产培训教育</w:t>
            </w:r>
          </w:p>
        </w:tc>
        <w:tc>
          <w:tcPr>
            <w:tcW w:w="6480" w:type="dxa"/>
            <w:vAlign w:val="center"/>
          </w:tcPr>
          <w:p>
            <w:pPr>
              <w:pStyle w:val="29"/>
              <w:keepNext w:val="0"/>
              <w:keepLines w:val="0"/>
              <w:pageBreakBefore w:val="0"/>
              <w:widowControl w:val="0"/>
              <w:numPr>
                <w:ilvl w:val="0"/>
                <w:numId w:val="6"/>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是否制定复工复产安全生产培训教育计划并组织实施；</w:t>
            </w:r>
          </w:p>
          <w:p>
            <w:pPr>
              <w:pStyle w:val="30"/>
              <w:keepNext w:val="0"/>
              <w:keepLines w:val="0"/>
              <w:pageBreakBefore w:val="0"/>
              <w:widowControl w:val="0"/>
              <w:numPr>
                <w:ilvl w:val="0"/>
                <w:numId w:val="6"/>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复工后新入职、换岗、轮岗人员是否开展培训教育；</w:t>
            </w:r>
          </w:p>
          <w:p>
            <w:pPr>
              <w:pStyle w:val="30"/>
              <w:keepNext w:val="0"/>
              <w:keepLines w:val="0"/>
              <w:pageBreakBefore w:val="0"/>
              <w:widowControl w:val="0"/>
              <w:numPr>
                <w:ilvl w:val="0"/>
                <w:numId w:val="6"/>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新入职、换岗、轮岗人员是否按规定实施培训并建立培训教育档案；</w:t>
            </w:r>
          </w:p>
          <w:p>
            <w:pPr>
              <w:pStyle w:val="30"/>
              <w:keepNext w:val="0"/>
              <w:keepLines w:val="0"/>
              <w:pageBreakBefore w:val="0"/>
              <w:widowControl w:val="0"/>
              <w:numPr>
                <w:ilvl w:val="0"/>
                <w:numId w:val="6"/>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复工后特种作业人员是否持证上岗。</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安全生产费用投入</w:t>
            </w:r>
          </w:p>
        </w:tc>
        <w:tc>
          <w:tcPr>
            <w:tcW w:w="6480" w:type="dxa"/>
            <w:vAlign w:val="center"/>
          </w:tcPr>
          <w:p>
            <w:pPr>
              <w:pStyle w:val="29"/>
              <w:keepNext w:val="0"/>
              <w:keepLines w:val="0"/>
              <w:pageBreakBefore w:val="0"/>
              <w:widowControl w:val="0"/>
              <w:numPr>
                <w:ilvl w:val="0"/>
                <w:numId w:val="7"/>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复工复产安全生产经费投入是否充足；</w:t>
            </w:r>
          </w:p>
          <w:p>
            <w:pPr>
              <w:pStyle w:val="30"/>
              <w:keepNext w:val="0"/>
              <w:keepLines w:val="0"/>
              <w:pageBreakBefore w:val="0"/>
              <w:widowControl w:val="0"/>
              <w:numPr>
                <w:ilvl w:val="0"/>
                <w:numId w:val="7"/>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复工复产后的卫生防护用品、劳动防护用品的物资是否充足。</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现场管理</w:t>
            </w:r>
          </w:p>
        </w:tc>
        <w:tc>
          <w:tcPr>
            <w:tcW w:w="6480" w:type="dxa"/>
            <w:vAlign w:val="center"/>
          </w:tcPr>
          <w:p>
            <w:pPr>
              <w:pStyle w:val="29"/>
              <w:keepNext w:val="0"/>
              <w:keepLines w:val="0"/>
              <w:pageBreakBefore w:val="0"/>
              <w:widowControl w:val="0"/>
              <w:numPr>
                <w:ilvl w:val="0"/>
                <w:numId w:val="8"/>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企业是否组织一次全面的复工复产隐患排查；</w:t>
            </w:r>
          </w:p>
          <w:p>
            <w:pPr>
              <w:pStyle w:val="30"/>
              <w:keepNext w:val="0"/>
              <w:keepLines w:val="0"/>
              <w:pageBreakBefore w:val="0"/>
              <w:widowControl w:val="0"/>
              <w:numPr>
                <w:ilvl w:val="0"/>
                <w:numId w:val="8"/>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是否对复工的隐患排查内容建立台账并如实记录；</w:t>
            </w:r>
          </w:p>
          <w:p>
            <w:pPr>
              <w:pStyle w:val="30"/>
              <w:keepNext w:val="0"/>
              <w:keepLines w:val="0"/>
              <w:pageBreakBefore w:val="0"/>
              <w:widowControl w:val="0"/>
              <w:numPr>
                <w:ilvl w:val="0"/>
                <w:numId w:val="8"/>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是否明确隐患的整改责任人、整改期限、整改措施；</w:t>
            </w:r>
          </w:p>
          <w:p>
            <w:pPr>
              <w:pStyle w:val="30"/>
              <w:keepNext w:val="0"/>
              <w:keepLines w:val="0"/>
              <w:pageBreakBefore w:val="0"/>
              <w:widowControl w:val="0"/>
              <w:numPr>
                <w:ilvl w:val="0"/>
                <w:numId w:val="8"/>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是否对生产装置、设备设施、安全防护装置等进行系统性检查检测、维护保养；</w:t>
            </w:r>
          </w:p>
          <w:p>
            <w:pPr>
              <w:pStyle w:val="30"/>
              <w:keepNext w:val="0"/>
              <w:keepLines w:val="0"/>
              <w:pageBreakBefore w:val="0"/>
              <w:widowControl w:val="0"/>
              <w:numPr>
                <w:ilvl w:val="0"/>
                <w:numId w:val="8"/>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是否针对重要环节、重要设备进行复工后的专项检查。</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84"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安全标识标志建立情况</w:t>
            </w:r>
          </w:p>
        </w:tc>
        <w:tc>
          <w:tcPr>
            <w:tcW w:w="6480" w:type="dxa"/>
            <w:vAlign w:val="center"/>
          </w:tcPr>
          <w:p>
            <w:pPr>
              <w:pStyle w:val="29"/>
              <w:keepNext w:val="0"/>
              <w:keepLines w:val="0"/>
              <w:pageBreakBefore w:val="0"/>
              <w:widowControl w:val="0"/>
              <w:numPr>
                <w:ilvl w:val="0"/>
                <w:numId w:val="9"/>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是否严格履行公司出入登记、体温监测制度和入厂须知；</w:t>
            </w:r>
          </w:p>
          <w:p>
            <w:pPr>
              <w:pStyle w:val="30"/>
              <w:keepNext w:val="0"/>
              <w:keepLines w:val="0"/>
              <w:pageBreakBefore w:val="0"/>
              <w:widowControl w:val="0"/>
              <w:numPr>
                <w:ilvl w:val="0"/>
                <w:numId w:val="9"/>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是否按规定设置安全指示、警示、标志；</w:t>
            </w:r>
          </w:p>
          <w:p>
            <w:pPr>
              <w:pStyle w:val="30"/>
              <w:keepNext w:val="0"/>
              <w:keepLines w:val="0"/>
              <w:pageBreakBefore w:val="0"/>
              <w:widowControl w:val="0"/>
              <w:numPr>
                <w:ilvl w:val="0"/>
                <w:numId w:val="9"/>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是否告知复工复产后的卫生防护、安全管理的最新要求；</w:t>
            </w:r>
          </w:p>
          <w:p>
            <w:pPr>
              <w:pStyle w:val="30"/>
              <w:keepNext w:val="0"/>
              <w:keepLines w:val="0"/>
              <w:pageBreakBefore w:val="0"/>
              <w:widowControl w:val="0"/>
              <w:numPr>
                <w:ilvl w:val="0"/>
                <w:numId w:val="9"/>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是否对重点设施、设备及重点公益化解设置危险警示标牌和责任人。</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91"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危险作业票证管理</w:t>
            </w:r>
          </w:p>
        </w:tc>
        <w:tc>
          <w:tcPr>
            <w:tcW w:w="6480" w:type="dxa"/>
            <w:vAlign w:val="center"/>
          </w:tcPr>
          <w:p>
            <w:pPr>
              <w:pStyle w:val="29"/>
              <w:keepNext w:val="0"/>
              <w:keepLines w:val="0"/>
              <w:pageBreakBefore w:val="0"/>
              <w:widowControl w:val="0"/>
              <w:numPr>
                <w:ilvl w:val="0"/>
                <w:numId w:val="10"/>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是否按要求落实临时用电、动火、有限空间等危险作业审批制度；</w:t>
            </w:r>
          </w:p>
          <w:p>
            <w:pPr>
              <w:pStyle w:val="30"/>
              <w:keepNext w:val="0"/>
              <w:keepLines w:val="0"/>
              <w:pageBreakBefore w:val="0"/>
              <w:widowControl w:val="0"/>
              <w:numPr>
                <w:ilvl w:val="0"/>
                <w:numId w:val="10"/>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是否告知外包服务单位对本区域实施吊装、动土、动火、有限空间等作业时的注意事项；</w:t>
            </w:r>
          </w:p>
          <w:p>
            <w:pPr>
              <w:pStyle w:val="30"/>
              <w:keepNext w:val="0"/>
              <w:keepLines w:val="0"/>
              <w:pageBreakBefore w:val="0"/>
              <w:widowControl w:val="0"/>
              <w:numPr>
                <w:ilvl w:val="0"/>
                <w:numId w:val="10"/>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实施动火、有限空间等危险作业的作业人员监管和跟踪检查。</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4"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检验检测</w:t>
            </w:r>
          </w:p>
        </w:tc>
        <w:tc>
          <w:tcPr>
            <w:tcW w:w="6480" w:type="dxa"/>
            <w:vAlign w:val="center"/>
          </w:tcPr>
          <w:p>
            <w:pPr>
              <w:pStyle w:val="29"/>
              <w:keepNext w:val="0"/>
              <w:keepLines w:val="0"/>
              <w:pageBreakBefore w:val="0"/>
              <w:widowControl w:val="0"/>
              <w:numPr>
                <w:ilvl w:val="0"/>
                <w:numId w:val="11"/>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场内车辆、特种设备、生产装置、设施设备是否运行良好；</w:t>
            </w:r>
          </w:p>
          <w:p>
            <w:pPr>
              <w:pStyle w:val="30"/>
              <w:keepNext w:val="0"/>
              <w:keepLines w:val="0"/>
              <w:pageBreakBefore w:val="0"/>
              <w:widowControl w:val="0"/>
              <w:numPr>
                <w:ilvl w:val="0"/>
                <w:numId w:val="11"/>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场内车辆、特种设备、生产装置、设施设备是否要检测、维修；</w:t>
            </w:r>
          </w:p>
          <w:p>
            <w:pPr>
              <w:pStyle w:val="30"/>
              <w:keepNext w:val="0"/>
              <w:keepLines w:val="0"/>
              <w:pageBreakBefore w:val="0"/>
              <w:widowControl w:val="0"/>
              <w:numPr>
                <w:ilvl w:val="0"/>
                <w:numId w:val="11"/>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维修设备是否张贴告知，并禁止带病运行。</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劳动防护</w:t>
            </w:r>
          </w:p>
        </w:tc>
        <w:tc>
          <w:tcPr>
            <w:tcW w:w="6480" w:type="dxa"/>
            <w:vAlign w:val="center"/>
          </w:tcPr>
          <w:p>
            <w:pPr>
              <w:pStyle w:val="29"/>
              <w:keepNext w:val="0"/>
              <w:keepLines w:val="0"/>
              <w:pageBreakBefore w:val="0"/>
              <w:widowControl w:val="0"/>
              <w:numPr>
                <w:ilvl w:val="0"/>
                <w:numId w:val="12"/>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是否按国家规定配备必须的卫生防护用品、劳动防护用品；</w:t>
            </w:r>
          </w:p>
          <w:p>
            <w:pPr>
              <w:pStyle w:val="29"/>
              <w:keepNext w:val="0"/>
              <w:keepLines w:val="0"/>
              <w:pageBreakBefore w:val="0"/>
              <w:widowControl w:val="0"/>
              <w:numPr>
                <w:ilvl w:val="0"/>
                <w:numId w:val="12"/>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是否对卫生防护用品、劳动防护用品的正确佩戴实施监督检查；</w:t>
            </w:r>
          </w:p>
          <w:p>
            <w:pPr>
              <w:pStyle w:val="30"/>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3.是否建立劳动防护用品、卫生防护用品发放台账。</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320"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lang w:eastAsia="zh-CN"/>
              </w:rPr>
            </w:pPr>
            <w:r>
              <w:rPr>
                <w:rFonts w:hint="eastAsia" w:ascii="仿宋_GB2312" w:hAnsi="仿宋_GB2312" w:eastAsia="仿宋_GB2312" w:cs="宋体"/>
                <w:sz w:val="24"/>
                <w:szCs w:val="24"/>
                <w:vertAlign w:val="baseline"/>
                <w:lang w:eastAsia="zh-CN"/>
              </w:rPr>
              <w:t>应急管理</w:t>
            </w:r>
          </w:p>
        </w:tc>
        <w:tc>
          <w:tcPr>
            <w:tcW w:w="6480" w:type="dxa"/>
            <w:vAlign w:val="center"/>
          </w:tcPr>
          <w:p>
            <w:pPr>
              <w:pStyle w:val="29"/>
              <w:keepNext w:val="0"/>
              <w:keepLines w:val="0"/>
              <w:pageBreakBefore w:val="0"/>
              <w:widowControl w:val="0"/>
              <w:numPr>
                <w:ilvl w:val="0"/>
                <w:numId w:val="13"/>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生产安全事故应急救援预案是否及时有效；</w:t>
            </w:r>
          </w:p>
          <w:p>
            <w:pPr>
              <w:pStyle w:val="30"/>
              <w:keepNext w:val="0"/>
              <w:keepLines w:val="0"/>
              <w:pageBreakBefore w:val="0"/>
              <w:widowControl w:val="0"/>
              <w:numPr>
                <w:ilvl w:val="0"/>
                <w:numId w:val="13"/>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是否对从业人员进行应急教育和培训，确保从业人员具备必要的应急知识，掌握风险防范技能和事故应急措施；</w:t>
            </w:r>
          </w:p>
          <w:p>
            <w:pPr>
              <w:pStyle w:val="30"/>
              <w:keepNext w:val="0"/>
              <w:keepLines w:val="0"/>
              <w:pageBreakBefore w:val="0"/>
              <w:widowControl w:val="0"/>
              <w:numPr>
                <w:ilvl w:val="0"/>
                <w:numId w:val="13"/>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是否针对公安卫生突发事件制定应急预案，是否建立健全安全管理制度；</w:t>
            </w:r>
          </w:p>
          <w:p>
            <w:pPr>
              <w:pStyle w:val="30"/>
              <w:keepNext w:val="0"/>
              <w:keepLines w:val="0"/>
              <w:pageBreakBefore w:val="0"/>
              <w:widowControl w:val="0"/>
              <w:numPr>
                <w:ilvl w:val="0"/>
                <w:numId w:val="13"/>
              </w:numPr>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auto"/>
              <w:outlineLvl w:val="9"/>
              <w:rPr>
                <w:rFonts w:hint="eastAsia" w:ascii="仿宋_GB2312" w:hAnsi="仿宋_GB2312" w:eastAsia="仿宋_GB2312" w:cs="宋体"/>
                <w:sz w:val="24"/>
                <w:szCs w:val="24"/>
                <w:lang w:val="en-US" w:eastAsia="zh-CN"/>
              </w:rPr>
            </w:pPr>
            <w:r>
              <w:rPr>
                <w:rFonts w:hint="eastAsia" w:ascii="仿宋_GB2312" w:hAnsi="仿宋_GB2312" w:eastAsia="仿宋_GB2312" w:cs="宋体"/>
                <w:sz w:val="24"/>
                <w:szCs w:val="24"/>
                <w:lang w:val="en-US" w:eastAsia="zh-CN"/>
              </w:rPr>
              <w:t>是否定期检查本单位各项突发事件安全防范措施的落实情况，及时消除事故隐患。</w:t>
            </w:r>
          </w:p>
        </w:tc>
        <w:tc>
          <w:tcPr>
            <w:tcW w:w="855"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lang w:val="en-US" w:eastAsia="zh-CN"/>
              </w:rPr>
            </w:pPr>
            <w:r>
              <w:rPr>
                <w:rFonts w:hint="eastAsia" w:ascii="仿宋_GB2312" w:hAnsi="仿宋_GB2312" w:eastAsia="仿宋_GB2312"/>
                <w:lang w:val="en-US" w:eastAsia="zh-CN"/>
              </w:rPr>
              <w:t>□ 是</w:t>
            </w:r>
          </w:p>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r>
              <w:rPr>
                <w:rFonts w:hint="eastAsia" w:ascii="仿宋_GB2312" w:hAnsi="仿宋_GB2312" w:eastAsia="仿宋_GB2312"/>
                <w:lang w:val="en-US" w:eastAsia="zh-CN"/>
              </w:rPr>
              <w:t>□ 否</w:t>
            </w:r>
          </w:p>
        </w:tc>
        <w:tc>
          <w:tcPr>
            <w:tcW w:w="1022" w:type="dxa"/>
            <w:vAlign w:val="center"/>
          </w:tcPr>
          <w:p>
            <w:pPr>
              <w:pStyle w:val="29"/>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auto"/>
              <w:outlineLvl w:val="9"/>
              <w:rPr>
                <w:rFonts w:hint="eastAsia" w:ascii="仿宋_GB2312" w:hAnsi="仿宋_GB2312" w:eastAsia="仿宋_GB2312" w:cs="宋体"/>
                <w:sz w:val="24"/>
                <w:szCs w:val="24"/>
                <w:vertAlign w:val="baseline"/>
              </w:rPr>
            </w:pPr>
          </w:p>
        </w:tc>
      </w:tr>
    </w:tbl>
    <w:p>
      <w:pPr>
        <w:pStyle w:val="22"/>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textAlignment w:val="auto"/>
        <w:rPr>
          <w:rFonts w:hint="eastAsia" w:ascii="黑体" w:hAnsi="黑体" w:eastAsia="黑体"/>
          <w:color w:val="auto"/>
          <w:lang w:val="en-US" w:eastAsia="zh-CN"/>
        </w:rPr>
      </w:pPr>
    </w:p>
    <w:p>
      <w:pPr>
        <w:pStyle w:val="24"/>
        <w:rPr>
          <w:rFonts w:hint="eastAsia" w:ascii="黑体" w:hAnsi="黑体" w:eastAsia="黑体"/>
          <w:color w:val="auto"/>
          <w:lang w:val="en-US" w:eastAsia="zh-CN"/>
        </w:rPr>
      </w:pPr>
      <w:r>
        <w:rPr>
          <w:rFonts w:hint="eastAsia" w:ascii="黑体" w:hAnsi="黑体" w:eastAsia="黑体"/>
          <w:color w:val="auto"/>
          <w:lang w:val="en-US" w:eastAsia="zh-CN"/>
        </w:rPr>
        <w:br w:type="page"/>
      </w:r>
    </w:p>
    <w:p>
      <w:pPr>
        <w:pStyle w:val="26"/>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outlineLvl w:val="9"/>
        <w:rPr>
          <w:rFonts w:hint="eastAsia" w:ascii="方正小标宋简体" w:hAnsi="方正小标宋简体" w:eastAsia="方正小标宋简体" w:cs="黑体"/>
          <w:sz w:val="44"/>
          <w:szCs w:val="44"/>
        </w:rPr>
      </w:pPr>
      <w:r>
        <w:rPr>
          <w:rFonts w:hint="eastAsia" w:ascii="方正小标宋简体" w:hAnsi="方正小标宋简体" w:eastAsia="方正小标宋简体" w:cs="黑体"/>
          <w:sz w:val="44"/>
          <w:szCs w:val="44"/>
        </w:rPr>
        <w:t>佛山市有限空间作业安全检查表</w:t>
      </w:r>
    </w:p>
    <w:p>
      <w:pPr>
        <w:pStyle w:val="26"/>
        <w:keepNext w:val="0"/>
        <w:keepLines w:val="0"/>
        <w:pageBreakBefore w:val="0"/>
        <w:widowControl w:val="0"/>
        <w:kinsoku/>
        <w:wordWrap/>
        <w:overflowPunct/>
        <w:topLinePunct w:val="0"/>
        <w:autoSpaceDE/>
        <w:autoSpaceDN/>
        <w:bidi w:val="0"/>
        <w:adjustRightInd/>
        <w:snapToGrid/>
        <w:spacing w:before="0" w:beforeLines="0" w:after="0" w:afterLines="0" w:line="300" w:lineRule="exact"/>
        <w:ind w:left="0" w:leftChars="0" w:right="0" w:rightChars="0" w:firstLine="0" w:firstLineChars="0"/>
        <w:jc w:val="center"/>
        <w:textAlignment w:val="auto"/>
        <w:outlineLvl w:val="9"/>
        <w:rPr>
          <w:rFonts w:hint="eastAsia" w:ascii="方正小标宋简体" w:hAnsi="方正小标宋简体" w:eastAsia="方正小标宋简体" w:cs="黑体"/>
          <w:sz w:val="44"/>
          <w:szCs w:val="44"/>
        </w:rPr>
      </w:pPr>
    </w:p>
    <w:tbl>
      <w:tblPr>
        <w:tblStyle w:val="7"/>
        <w:tblW w:w="949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780"/>
        <w:gridCol w:w="5096"/>
        <w:gridCol w:w="362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exact"/>
          <w:jc w:val="center"/>
        </w:trPr>
        <w:tc>
          <w:tcPr>
            <w:tcW w:w="9496" w:type="dxa"/>
            <w:gridSpan w:val="3"/>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被检查单位：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exact"/>
          <w:jc w:val="center"/>
        </w:trPr>
        <w:tc>
          <w:tcPr>
            <w:tcW w:w="9496" w:type="dxa"/>
            <w:gridSpan w:val="3"/>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exac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黑体" w:hAnsi="黑体" w:eastAsia="黑体" w:cs="黑体"/>
                <w:i w:val="0"/>
                <w:color w:val="000000"/>
                <w:sz w:val="24"/>
                <w:szCs w:val="28"/>
                <w:u w:val="none"/>
              </w:rPr>
            </w:pPr>
            <w:r>
              <w:rPr>
                <w:rFonts w:hint="eastAsia" w:ascii="黑体" w:hAnsi="黑体" w:eastAsia="黑体" w:cs="黑体"/>
                <w:i w:val="0"/>
                <w:color w:val="000000"/>
                <w:kern w:val="0"/>
                <w:sz w:val="24"/>
                <w:szCs w:val="28"/>
                <w:u w:val="none"/>
                <w:lang w:val="en-US" w:eastAsia="zh-CN"/>
              </w:rPr>
              <w:t>序号</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outlineLvl w:val="9"/>
              <w:rPr>
                <w:rFonts w:hint="eastAsia" w:ascii="黑体" w:hAnsi="黑体" w:eastAsia="黑体" w:cs="黑体"/>
                <w:i w:val="0"/>
                <w:color w:val="000000"/>
                <w:sz w:val="24"/>
                <w:szCs w:val="28"/>
                <w:u w:val="none"/>
              </w:rPr>
            </w:pPr>
            <w:r>
              <w:rPr>
                <w:rFonts w:hint="eastAsia" w:ascii="黑体" w:hAnsi="黑体" w:eastAsia="黑体" w:cs="黑体"/>
                <w:i w:val="0"/>
                <w:color w:val="000000"/>
                <w:kern w:val="0"/>
                <w:sz w:val="24"/>
                <w:szCs w:val="28"/>
                <w:u w:val="none"/>
                <w:lang w:val="en-US" w:eastAsia="zh-CN"/>
              </w:rPr>
              <w:t>检查内容</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黑体" w:hAnsi="黑体" w:eastAsia="黑体" w:cs="黑体"/>
                <w:i w:val="0"/>
                <w:color w:val="000000"/>
                <w:sz w:val="24"/>
                <w:szCs w:val="28"/>
                <w:u w:val="none"/>
              </w:rPr>
            </w:pPr>
            <w:r>
              <w:rPr>
                <w:rFonts w:hint="eastAsia" w:ascii="黑体" w:hAnsi="黑体" w:eastAsia="黑体" w:cs="黑体"/>
                <w:i w:val="0"/>
                <w:color w:val="000000"/>
                <w:kern w:val="0"/>
                <w:sz w:val="24"/>
                <w:szCs w:val="28"/>
                <w:u w:val="none"/>
                <w:lang w:val="en-US" w:eastAsia="zh-CN"/>
              </w:rPr>
              <w:t>检查情况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1</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未对有限空间作业场所进行辨识，并建立完善有限空间管理台帐。</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18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2</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未在辨识出的有限空间作业场所或设备附近设置警示标志和危险告知牌，并标明有限空间编号、主要危险因素、操作重点事项和报警救援电话。</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08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3</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未将有限空间作业发包给具备安全生产条件的承包方，与承包方签订安全生产管理协议、对承包方进行检查协调。</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4</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未配备合格的有限空间作业检测、通风、应急救援等安全设施设备。</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5</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未依法开展有限空间作业安全培训、安全交底和安全作业条件确认。</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94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6</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按照要求严格落实有限空间作业审批制度，做到：“有限空间作业未经审批，严禁作业；作业人员未经培训，严禁作业；作业场所未经通风和检测，严禁作业；作业现场无监护人员，严禁作业；无应急救援设备，严禁盲目施救”。</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40"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7</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未制定有针对性的有限空间作业应急预案，从业人员掌握应急救援要求。</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5" w:hRule="atLeast"/>
          <w:jc w:val="center"/>
        </w:trPr>
        <w:tc>
          <w:tcPr>
            <w:tcW w:w="78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center"/>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8</w:t>
            </w:r>
          </w:p>
        </w:tc>
        <w:tc>
          <w:tcPr>
            <w:tcW w:w="5096"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both"/>
              <w:textAlignment w:val="center"/>
              <w:outlineLvl w:val="9"/>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其他</w:t>
            </w:r>
          </w:p>
        </w:tc>
        <w:tc>
          <w:tcPr>
            <w:tcW w:w="3620" w:type="dxa"/>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rPr>
                <w:rFonts w:hint="eastAsia" w:ascii="仿宋_GB2312" w:hAnsi="仿宋_GB2312" w:eastAsia="仿宋_GB2312" w:cs="仿宋_GB2312"/>
                <w:i w:val="0"/>
                <w:color w:val="000000"/>
                <w:sz w:val="24"/>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5" w:hRule="atLeast"/>
          <w:jc w:val="center"/>
        </w:trPr>
        <w:tc>
          <w:tcPr>
            <w:tcW w:w="9496" w:type="dxa"/>
            <w:gridSpan w:val="3"/>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检查人员：                             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jc w:val="center"/>
        </w:trPr>
        <w:tc>
          <w:tcPr>
            <w:tcW w:w="9496" w:type="dxa"/>
            <w:gridSpan w:val="3"/>
            <w:tcBorders>
              <w:top w:val="single" w:color="000000" w:sz="4" w:space="0"/>
              <w:left w:val="single" w:color="000000" w:sz="4" w:space="0"/>
              <w:bottom w:val="single" w:color="000000" w:sz="4" w:space="0"/>
              <w:right w:val="single" w:color="000000" w:sz="4" w:space="0"/>
            </w:tcBorders>
            <w:vAlign w:val="center"/>
          </w:tcPr>
          <w:p>
            <w:pPr>
              <w:pStyle w:val="26"/>
              <w:keepNext w:val="0"/>
              <w:keepLines w:val="0"/>
              <w:pageBreakBefore w:val="0"/>
              <w:widowControl/>
              <w:suppressLineNumbers w:val="0"/>
              <w:kinsoku/>
              <w:wordWrap/>
              <w:overflowPunct/>
              <w:topLinePunct w:val="0"/>
              <w:autoSpaceDE/>
              <w:autoSpaceDN/>
              <w:bidi w:val="0"/>
              <w:adjustRightInd/>
              <w:snapToGrid/>
              <w:spacing w:before="0" w:beforeLines="0" w:after="0" w:afterLines="0" w:line="360" w:lineRule="exact"/>
              <w:ind w:left="0" w:leftChars="0" w:right="0" w:rightChars="0" w:firstLine="0" w:firstLineChars="0"/>
              <w:jc w:val="left"/>
              <w:textAlignment w:val="center"/>
              <w:rPr>
                <w:rFonts w:hint="eastAsia" w:ascii="仿宋_GB2312" w:hAnsi="仿宋_GB2312" w:eastAsia="仿宋_GB2312" w:cs="仿宋_GB2312"/>
                <w:i w:val="0"/>
                <w:color w:val="000000"/>
                <w:sz w:val="24"/>
                <w:szCs w:val="28"/>
                <w:u w:val="none"/>
              </w:rPr>
            </w:pPr>
            <w:r>
              <w:rPr>
                <w:rFonts w:hint="eastAsia" w:ascii="仿宋_GB2312" w:hAnsi="仿宋_GB2312" w:eastAsia="仿宋_GB2312" w:cs="仿宋_GB2312"/>
                <w:i w:val="0"/>
                <w:color w:val="000000"/>
                <w:kern w:val="0"/>
                <w:sz w:val="24"/>
                <w:szCs w:val="28"/>
                <w:u w:val="none"/>
                <w:lang w:val="en-US" w:eastAsia="zh-CN"/>
              </w:rPr>
              <w:t>被检查单位负责人：                     时间：</w:t>
            </w:r>
          </w:p>
        </w:tc>
      </w:tr>
    </w:tbl>
    <w:p>
      <w:pPr>
        <w:pStyle w:val="31"/>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622" w:firstLineChars="200"/>
        <w:jc w:val="both"/>
        <w:textAlignment w:val="auto"/>
        <w:outlineLvl w:val="9"/>
        <w:rPr>
          <w:rFonts w:hint="eastAsia" w:ascii="仿宋_GB2312" w:hAnsi="仿宋_GB2312" w:eastAsia="仿宋_GB2312" w:cs="仿宋_GB2312"/>
          <w:b/>
          <w:bCs/>
          <w:sz w:val="32"/>
          <w:szCs w:val="32"/>
          <w:lang w:val="en-US" w:eastAsia="zh-CN"/>
        </w:rPr>
      </w:pP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val="en-US" w:eastAsia="zh-CN"/>
        </w:rPr>
        <w:t>各有限空间作业企业是专项整治主体</w:t>
      </w:r>
      <w:r>
        <w:rPr>
          <w:rFonts w:hint="eastAsia" w:ascii="仿宋_GB2312" w:hAnsi="仿宋_GB2312" w:eastAsia="仿宋_GB2312" w:cs="仿宋_GB2312"/>
          <w:b/>
          <w:bCs/>
          <w:sz w:val="32"/>
          <w:szCs w:val="32"/>
        </w:rPr>
        <w:t>，</w:t>
      </w:r>
      <w:r>
        <w:rPr>
          <w:rFonts w:hint="eastAsia" w:ascii="仿宋_GB2312" w:hAnsi="仿宋_GB2312" w:eastAsia="仿宋_GB2312" w:cs="仿宋_GB2312"/>
          <w:b/>
          <w:bCs/>
          <w:sz w:val="32"/>
          <w:szCs w:val="32"/>
          <w:lang w:eastAsia="zh-CN"/>
        </w:rPr>
        <w:t>要</w:t>
      </w:r>
      <w:r>
        <w:rPr>
          <w:rFonts w:hint="eastAsia" w:ascii="仿宋_GB2312" w:hAnsi="仿宋_GB2312" w:eastAsia="仿宋_GB2312" w:cs="仿宋_GB2312"/>
          <w:b/>
          <w:bCs/>
          <w:sz w:val="32"/>
          <w:szCs w:val="32"/>
        </w:rPr>
        <w:t>认真对照</w:t>
      </w:r>
      <w:r>
        <w:rPr>
          <w:rFonts w:hint="eastAsia" w:ascii="仿宋_GB2312" w:hAnsi="仿宋_GB2312" w:eastAsia="仿宋_GB2312" w:cs="仿宋_GB2312"/>
          <w:b/>
          <w:bCs/>
          <w:sz w:val="32"/>
          <w:szCs w:val="32"/>
          <w:lang w:eastAsia="zh-CN"/>
        </w:rPr>
        <w:t>法律法规和标准规范要求</w:t>
      </w:r>
      <w:r>
        <w:rPr>
          <w:rFonts w:hint="eastAsia" w:ascii="仿宋_GB2312" w:hAnsi="仿宋_GB2312" w:eastAsia="仿宋_GB2312" w:cs="仿宋_GB2312"/>
          <w:b/>
          <w:bCs/>
          <w:sz w:val="32"/>
          <w:szCs w:val="32"/>
        </w:rPr>
        <w:t>开展自查自纠，</w:t>
      </w:r>
      <w:r>
        <w:rPr>
          <w:rFonts w:hint="eastAsia" w:ascii="仿宋_GB2312" w:hAnsi="仿宋_GB2312" w:eastAsia="仿宋_GB2312" w:cs="仿宋_GB2312"/>
          <w:b/>
          <w:bCs/>
          <w:sz w:val="32"/>
          <w:szCs w:val="32"/>
          <w:lang w:eastAsia="zh-CN"/>
        </w:rPr>
        <w:t>确保以下有限空间作业安全要求落实到位：</w:t>
      </w: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严格</w:t>
      </w:r>
      <w:r>
        <w:rPr>
          <w:rFonts w:hint="eastAsia" w:ascii="仿宋_GB2312" w:hAnsi="仿宋_GB2312" w:eastAsia="仿宋_GB2312" w:cs="仿宋_GB2312"/>
          <w:sz w:val="32"/>
          <w:szCs w:val="32"/>
          <w:lang w:eastAsia="zh-CN"/>
        </w:rPr>
        <w:t>委外作业</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严格审查承包单位安全生产条件，并与承包方签订专门的安全生产管理协议或者在承包合同中明确各自的安全生产职责</w:t>
      </w:r>
      <w:r>
        <w:rPr>
          <w:rFonts w:hint="eastAsia" w:ascii="仿宋_GB2312" w:hAnsi="仿宋_GB2312" w:eastAsia="仿宋_GB2312" w:cs="仿宋_GB2312"/>
          <w:sz w:val="32"/>
          <w:szCs w:val="32"/>
          <w:lang w:eastAsia="zh-CN"/>
        </w:rPr>
        <w:t>，不得将有限空间作业发包给不具备安全生产条件的单位</w:t>
      </w:r>
      <w:r>
        <w:rPr>
          <w:rFonts w:hint="eastAsia" w:ascii="仿宋_GB2312" w:hAnsi="仿宋_GB2312" w:eastAsia="仿宋_GB2312" w:cs="仿宋_GB2312"/>
          <w:sz w:val="32"/>
          <w:szCs w:val="32"/>
        </w:rPr>
        <w:t>。在作业过程中，发包单位要严格审批管理，强化作业现场管理，确保承包</w:t>
      </w:r>
      <w:r>
        <w:rPr>
          <w:rFonts w:hint="eastAsia" w:ascii="仿宋_GB2312" w:hAnsi="仿宋_GB2312" w:eastAsia="仿宋_GB2312" w:cs="仿宋_GB2312"/>
          <w:sz w:val="32"/>
          <w:szCs w:val="32"/>
          <w:lang w:eastAsia="zh-CN"/>
        </w:rPr>
        <w:t>方</w:t>
      </w:r>
      <w:r>
        <w:rPr>
          <w:rFonts w:hint="eastAsia" w:ascii="仿宋_GB2312" w:hAnsi="仿宋_GB2312" w:eastAsia="仿宋_GB2312" w:cs="仿宋_GB2312"/>
          <w:sz w:val="32"/>
          <w:szCs w:val="32"/>
        </w:rPr>
        <w:t>各项安全管理措施落到实处。</w:t>
      </w: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依法</w:t>
      </w:r>
      <w:r>
        <w:rPr>
          <w:rFonts w:hint="eastAsia" w:ascii="仿宋_GB2312" w:hAnsi="仿宋_GB2312" w:eastAsia="仿宋_GB2312" w:cs="仿宋_GB2312"/>
          <w:sz w:val="32"/>
          <w:szCs w:val="32"/>
        </w:rPr>
        <w:t>配备合格的</w:t>
      </w:r>
      <w:r>
        <w:rPr>
          <w:rFonts w:hint="eastAsia" w:ascii="仿宋_GB2312" w:hAnsi="仿宋_GB2312" w:eastAsia="仿宋_GB2312" w:cs="仿宋_GB2312"/>
          <w:sz w:val="32"/>
          <w:szCs w:val="32"/>
          <w:lang w:eastAsia="zh-CN"/>
        </w:rPr>
        <w:t>有限空间作业</w:t>
      </w:r>
      <w:r>
        <w:rPr>
          <w:rFonts w:hint="eastAsia" w:ascii="仿宋_GB2312" w:hAnsi="仿宋_GB2312" w:eastAsia="仿宋_GB2312" w:cs="仿宋_GB2312"/>
          <w:sz w:val="32"/>
          <w:szCs w:val="32"/>
        </w:rPr>
        <w:t>检测、通风、</w:t>
      </w:r>
      <w:r>
        <w:rPr>
          <w:rFonts w:hint="eastAsia" w:ascii="仿宋_GB2312" w:hAnsi="仿宋_GB2312" w:eastAsia="仿宋_GB2312" w:cs="仿宋_GB2312"/>
          <w:sz w:val="32"/>
          <w:szCs w:val="32"/>
          <w:lang w:eastAsia="zh-CN"/>
        </w:rPr>
        <w:t>应急救援等安全设施设备，在有限空间处设立明显的安全警示标志。</w:t>
      </w: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加强对作业人员培训</w:t>
      </w:r>
      <w:r>
        <w:rPr>
          <w:rFonts w:hint="eastAsia" w:ascii="仿宋_GB2312" w:hAnsi="仿宋_GB2312" w:eastAsia="仿宋_GB2312" w:cs="仿宋_GB2312"/>
          <w:sz w:val="32"/>
          <w:szCs w:val="32"/>
          <w:lang w:eastAsia="zh-CN"/>
        </w:rPr>
        <w:t>。认真开展有限空间作业安全专项培训，作业前要进行安全交底和安全作业条件确认，</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eastAsia="zh-CN"/>
        </w:rPr>
        <w:t>作业人员掌握有限空间作业安全要求，</w:t>
      </w:r>
      <w:r>
        <w:rPr>
          <w:rFonts w:hint="eastAsia" w:ascii="仿宋_GB2312" w:hAnsi="仿宋_GB2312" w:eastAsia="仿宋_GB2312" w:cs="仿宋_GB2312"/>
          <w:sz w:val="32"/>
          <w:szCs w:val="32"/>
        </w:rPr>
        <w:t>遵守操作规程</w:t>
      </w:r>
      <w:r>
        <w:rPr>
          <w:rFonts w:hint="eastAsia" w:ascii="仿宋_GB2312" w:hAnsi="仿宋_GB2312" w:eastAsia="仿宋_GB2312" w:cs="仿宋_GB2312"/>
          <w:sz w:val="32"/>
          <w:szCs w:val="32"/>
          <w:lang w:eastAsia="zh-CN"/>
        </w:rPr>
        <w:t>。</w:t>
      </w: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严格落实“五个严禁”的作业要求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即：有限空间作业未经审批，严禁作业；作业人员未经培训，严禁作业；作业场所未经通风和检测，严禁作业；作业现场无监护人员，严禁作业；无应急救援设备，严禁盲目施救。</w:t>
      </w: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提高应急处置能力</w:t>
      </w:r>
      <w:r>
        <w:rPr>
          <w:rFonts w:hint="eastAsia" w:ascii="仿宋_GB2312" w:hAnsi="仿宋_GB2312" w:eastAsia="仿宋_GB2312" w:cs="仿宋_GB2312"/>
          <w:sz w:val="32"/>
          <w:szCs w:val="32"/>
          <w:lang w:eastAsia="zh-CN"/>
        </w:rPr>
        <w:t>。要</w:t>
      </w:r>
      <w:r>
        <w:rPr>
          <w:rFonts w:hint="eastAsia" w:ascii="仿宋_GB2312" w:hAnsi="仿宋_GB2312" w:eastAsia="仿宋_GB2312" w:cs="仿宋_GB2312"/>
          <w:sz w:val="32"/>
          <w:szCs w:val="32"/>
        </w:rPr>
        <w:t>制定有针对性的</w:t>
      </w:r>
      <w:r>
        <w:rPr>
          <w:rFonts w:hint="eastAsia" w:ascii="仿宋_GB2312" w:hAnsi="仿宋_GB2312" w:eastAsia="仿宋_GB2312" w:cs="仿宋_GB2312"/>
          <w:sz w:val="32"/>
          <w:szCs w:val="32"/>
          <w:lang w:eastAsia="zh-CN"/>
        </w:rPr>
        <w:t>有限空间作业</w:t>
      </w:r>
      <w:r>
        <w:rPr>
          <w:rFonts w:hint="eastAsia" w:ascii="仿宋_GB2312" w:hAnsi="仿宋_GB2312" w:eastAsia="仿宋_GB2312" w:cs="仿宋_GB2312"/>
          <w:sz w:val="32"/>
          <w:szCs w:val="32"/>
        </w:rPr>
        <w:t>应急预案，保证作业和施救人员掌握相关应急预案内容，并定期进行演练，提高应急处置能力，做到快速、有效、科学、安全施救。</w:t>
      </w:r>
    </w:p>
    <w:p>
      <w:pPr>
        <w:pStyle w:val="31"/>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22"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参考文件：</w:t>
      </w:r>
      <w:r>
        <w:rPr>
          <w:rFonts w:hint="eastAsia" w:ascii="仿宋_GB2312" w:hAnsi="仿宋_GB2312" w:eastAsia="仿宋_GB2312" w:cs="仿宋_GB2312"/>
          <w:sz w:val="32"/>
          <w:szCs w:val="32"/>
        </w:rPr>
        <w:t>佛山市安全生产委员会办公室印发佛山市深化有限空间作业安全专项整治工作方案的通知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佛安办〔</w:t>
      </w:r>
      <w:r>
        <w:rPr>
          <w:rFonts w:hint="eastAsia" w:ascii="仿宋_GB2312" w:hAnsi="仿宋_GB2312" w:eastAsia="仿宋_GB2312" w:cs="仿宋_GB2312"/>
          <w:sz w:val="32"/>
          <w:szCs w:val="32"/>
          <w:lang w:eastAsia="zh-CN"/>
        </w:rPr>
        <w:t>2021</w:t>
      </w:r>
      <w:r>
        <w:rPr>
          <w:rFonts w:hint="eastAsia" w:ascii="仿宋_GB2312" w:hAnsi="仿宋_GB2312" w:eastAsia="仿宋_GB2312" w:cs="仿宋_GB2312"/>
          <w:sz w:val="32"/>
          <w:szCs w:val="32"/>
        </w:rPr>
        <w:t>〕188号</w:t>
      </w:r>
      <w:r>
        <w:rPr>
          <w:rFonts w:hint="eastAsia" w:ascii="仿宋_GB2312" w:hAnsi="仿宋_GB2312" w:eastAsia="仿宋_GB2312" w:cs="仿宋_GB2312"/>
          <w:sz w:val="32"/>
          <w:szCs w:val="32"/>
          <w:lang w:eastAsia="zh-CN"/>
        </w:rPr>
        <w:t>）</w:t>
      </w:r>
    </w:p>
    <w:p>
      <w:pPr>
        <w:pStyle w:val="31"/>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0" w:rightChars="0" w:firstLine="431" w:firstLineChars="100"/>
        <w:jc w:val="both"/>
        <w:textAlignment w:val="auto"/>
        <w:outlineLvl w:val="9"/>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企业主要负责人、安全管理人员责任清单</w:t>
      </w:r>
    </w:p>
    <w:p>
      <w:pPr>
        <w:pStyle w:val="32"/>
        <w:keepNext w:val="0"/>
        <w:keepLines w:val="0"/>
        <w:pageBreakBefore w:val="0"/>
        <w:widowControl w:val="0"/>
        <w:kinsoku/>
        <w:wordWrap/>
        <w:overflowPunct/>
        <w:topLinePunct w:val="0"/>
        <w:bidi w:val="0"/>
        <w:spacing w:before="0" w:beforeLines="0" w:after="0" w:afterLines="0" w:line="520" w:lineRule="exact"/>
        <w:ind w:left="0" w:leftChars="0" w:right="0" w:rightChars="0" w:firstLine="402" w:firstLineChars="200"/>
        <w:textAlignment w:val="auto"/>
        <w:rPr>
          <w:rFonts w:hint="eastAsia"/>
        </w:rPr>
      </w:pPr>
    </w:p>
    <w:p>
      <w:pPr>
        <w:pStyle w:val="13"/>
        <w:keepNext w:val="0"/>
        <w:keepLines w:val="0"/>
        <w:pageBreakBefore w:val="0"/>
        <w:widowControl w:val="0"/>
        <w:numPr>
          <w:ilvl w:val="0"/>
          <w:numId w:val="14"/>
        </w:numPr>
        <w:suppressLineNumbers w:val="0"/>
        <w:pBdr>
          <w:top w:val="none" w:color="auto" w:sz="0" w:space="0"/>
          <w:left w:val="none" w:color="auto" w:sz="0" w:space="0"/>
          <w:bottom w:val="none" w:color="auto" w:sz="0" w:space="0"/>
          <w:right w:val="none" w:color="auto" w:sz="0" w:space="0"/>
        </w:pBdr>
        <w:shd w:val="clear" w:color="auto" w:fill="FFFFFF"/>
        <w:tabs>
          <w:tab w:val="left" w:pos="312"/>
        </w:tabs>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主要负责人职责：</w:t>
      </w:r>
    </w:p>
    <w:p>
      <w:pPr>
        <w:pStyle w:val="24"/>
        <w:keepNext w:val="0"/>
        <w:keepLines w:val="0"/>
        <w:pageBreakBefore w:val="0"/>
        <w:widowControl w:val="0"/>
        <w:numPr>
          <w:ilvl w:val="0"/>
          <w:numId w:val="15"/>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建立健全并落实本单位全员安全生产责任制，加强安全生产标准化建设；</w:t>
      </w:r>
    </w:p>
    <w:p>
      <w:pPr>
        <w:pStyle w:val="24"/>
        <w:keepNext w:val="0"/>
        <w:keepLines w:val="0"/>
        <w:pageBreakBefore w:val="0"/>
        <w:widowControl w:val="0"/>
        <w:numPr>
          <w:ilvl w:val="0"/>
          <w:numId w:val="15"/>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组织制定并实施本单位安全生产规章制度和操作规程；</w:t>
      </w:r>
    </w:p>
    <w:p>
      <w:pPr>
        <w:pStyle w:val="33"/>
        <w:keepNext w:val="0"/>
        <w:keepLines w:val="0"/>
        <w:pageBreakBefore w:val="0"/>
        <w:widowControl w:val="0"/>
        <w:numPr>
          <w:ilvl w:val="0"/>
          <w:numId w:val="15"/>
        </w:numPr>
        <w:kinsoku/>
        <w:wordWrap/>
        <w:overflowPunct/>
        <w:topLinePunct w:val="0"/>
        <w:bidi w:val="0"/>
        <w:spacing w:before="0" w:beforeLines="0" w:after="0" w:afterLines="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组织制定并实施本单位安全生产教育和培训计划；</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（4）组织建立并落实安全风险分级管控和隐患排查治理双重预防工作机制，督促、检查本单位的安全生产工作，及时消除生产安全事故隐患；</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（5）组织制定并实施本单位的生产安全事故应急救援预案；</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（6）保证本单位安全生产投入的有效实施；</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（7）及时、如实报告生产安全事故。</w:t>
      </w:r>
    </w:p>
    <w:p>
      <w:pPr>
        <w:pStyle w:val="24"/>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2.安全管理人员职责：</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（1）组织或者参与拟订本单位安全生产规章制度、操作规程和生产安全事故应急救援预案；</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（2）组织或者参与本单位安全生产教育和培训，如实记录安全生产教育和培训情况；</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（3）组织开展危险源辨识和评估，督促落实本单位重大危险源的安全管理措施；</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（4）组织或者参与本单位应急救援演练；</w:t>
      </w:r>
    </w:p>
    <w:p>
      <w:pPr>
        <w:pStyle w:val="24"/>
        <w:keepNext w:val="0"/>
        <w:keepLines w:val="0"/>
        <w:pageBreakBefore w:val="0"/>
        <w:widowControl w:val="0"/>
        <w:numPr>
          <w:ilvl w:val="0"/>
          <w:numId w:val="0"/>
        </w:numPr>
        <w:suppressLineNumbers w:val="0"/>
        <w:shd w:val="clear" w:color="050000" w:fill="FFFFFF"/>
        <w:kinsoku/>
        <w:wordWrap/>
        <w:overflowPunct/>
        <w:topLinePunct w:val="0"/>
        <w:bidi w:val="0"/>
        <w:spacing w:before="0" w:beforeLines="0" w:after="0" w:afterLines="0" w:afterAutospacing="0" w:line="520" w:lineRule="exact"/>
        <w:ind w:left="0" w:leftChars="0" w:right="0" w:rightChars="0" w:firstLine="622" w:firstLineChars="200"/>
        <w:jc w:val="left"/>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（5）检查本单位的安全生产状况，及时排查生产安全事故隐患，提出改进安全生产管理的建议；</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（6）制止和纠正违章指挥、强令冒险作业、违反操作规程的行为；</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（7）督促落实本单位安全生产整改措施。生产经营单位可以设置专职安全生产分管负责人，协助本单位负责人履行安全生产管理职责。</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第九十七条　生产经营单位有下列行为之一的，责令限期改正，处十万元以下的罚款；逾期未改正的，责令停产停业整顿，并处十万元以上二十万元以下的罚款，对其直接负责的主管人员和其他直接责任人员处二万元以上五万元以下的罚款:</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（一）未按照规定设置安全生产管理机构或者配备安全生产管理人员、注册安全工程师的；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（二）危险物品的生产、经营、储存、装卸单位以及矿山、金属冶炼、建筑施工、运输单位的主要负责人和安全生产管理人员未按照规定经考核合格的；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（三）未按照规定对从业人员、被派遣劳动者、实习学生进行安全生产教育和培训，或者未按照规定如实告知有关的安全生产事项的；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（四）未如实记录安全生产教育和培训情况的；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（五）未将事故隐患排查治理情况如实记录或者未向从业人员通报的；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（六）未按照规定制定生产安全事故应急救援预案或者未定期组织演练的；</w:t>
      </w:r>
    </w:p>
    <w:p>
      <w:pPr>
        <w:pStyle w:val="13"/>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Lines="0" w:beforeAutospacing="0" w:after="0" w:afterLines="0" w:afterAutospacing="0" w:line="520" w:lineRule="exact"/>
        <w:ind w:left="0" w:leftChars="0" w:right="0" w:rightChars="0" w:firstLine="622" w:firstLineChars="200"/>
        <w:textAlignment w:val="auto"/>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（七）特种作业人员未按照规定经专门的安全作业培训并取得相应资格，上岗作业的。</w:t>
      </w:r>
    </w:p>
    <w:p>
      <w:pPr>
        <w:pStyle w:val="2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textAlignment w:val="auto"/>
        <w:rPr>
          <w:rFonts w:hint="eastAsia" w:ascii="黑体" w:hAnsi="黑体" w:eastAsia="黑体"/>
          <w:color w:val="auto"/>
        </w:rPr>
      </w:pPr>
    </w:p>
    <w:p>
      <w:pPr>
        <w:pStyle w:val="22"/>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left="0" w:leftChars="0" w:right="0" w:rightChars="0" w:firstLine="0" w:firstLineChars="0"/>
        <w:textAlignment w:val="auto"/>
        <w:rPr>
          <w:rFonts w:hint="eastAsia" w:ascii="黑体" w:hAnsi="黑体" w:eastAsia="黑体"/>
          <w:color w:val="auto"/>
          <w:lang w:val="en-US" w:eastAsia="zh-CN"/>
        </w:rPr>
      </w:pPr>
      <w:r>
        <w:rPr>
          <w:rFonts w:hint="eastAsia" w:ascii="黑体" w:hAnsi="黑体" w:eastAsia="黑体"/>
          <w:color w:val="auto"/>
        </w:rPr>
        <w:t>附件</w:t>
      </w:r>
      <w:r>
        <w:rPr>
          <w:rFonts w:hint="eastAsia" w:ascii="黑体" w:hAnsi="黑体" w:eastAsia="黑体"/>
          <w:color w:val="auto"/>
          <w:lang w:val="en-US" w:eastAsia="zh-CN"/>
        </w:rPr>
        <w:t>5</w:t>
      </w:r>
    </w:p>
    <w:p>
      <w:pPr>
        <w:pStyle w:val="34"/>
        <w:jc w:val="center"/>
        <w:rPr>
          <w:rFonts w:hint="eastAsia"/>
          <w:b/>
          <w:spacing w:val="-17"/>
          <w:sz w:val="44"/>
          <w:szCs w:val="44"/>
        </w:rPr>
      </w:pPr>
      <w:r>
        <w:rPr>
          <w:rFonts w:hint="eastAsia" w:ascii="方正小标宋简体" w:hAnsi="方正小标宋简体" w:eastAsia="方正小标宋简体" w:cs="Times New Roman"/>
          <w:spacing w:val="-17"/>
          <w:sz w:val="52"/>
          <w:szCs w:val="52"/>
          <w:lang w:val="en-US" w:eastAsia="zh-CN"/>
        </w:rPr>
        <w:t>2022年佛山市生产经营单位培训档案样板</w:t>
      </w:r>
    </w:p>
    <w:p>
      <w:pPr>
        <w:pStyle w:val="34"/>
        <w:jc w:val="center"/>
        <w:rPr>
          <w:rFonts w:hint="eastAsia" w:ascii="方正小标宋简体" w:hAnsi="方正小标宋简体" w:eastAsia="方正小标宋简体"/>
          <w:sz w:val="52"/>
          <w:szCs w:val="52"/>
        </w:rPr>
      </w:pPr>
    </w:p>
    <w:p>
      <w:pPr>
        <w:pStyle w:val="34"/>
        <w:jc w:val="center"/>
        <w:rPr>
          <w:rFonts w:hint="eastAsia" w:ascii="方正小标宋简体" w:hAnsi="方正小标宋简体" w:eastAsia="方正小标宋简体"/>
          <w:sz w:val="52"/>
          <w:szCs w:val="52"/>
        </w:rPr>
      </w:pPr>
      <w:r>
        <w:rPr>
          <w:rFonts w:hint="eastAsia" w:ascii="方正小标宋简体" w:hAnsi="方正小标宋简体" w:eastAsia="方正小标宋简体"/>
          <w:sz w:val="52"/>
          <w:szCs w:val="52"/>
        </w:rPr>
        <w:t>佛山市生产经营单位培训档案（封面）</w:t>
      </w:r>
    </w:p>
    <w:p>
      <w:pPr>
        <w:pStyle w:val="34"/>
        <w:jc w:val="center"/>
        <w:rPr>
          <w:rFonts w:hint="eastAsia" w:ascii="方正小标宋简体" w:hAnsi="方正小标宋简体" w:eastAsia="方正小标宋简体"/>
          <w:sz w:val="52"/>
          <w:szCs w:val="52"/>
        </w:rPr>
      </w:pPr>
      <w:r>
        <w:rPr>
          <w:rFonts w:hint="eastAsia" w:ascii="方正小标宋简体" w:hAnsi="方正小标宋简体" w:eastAsia="方正小标宋简体"/>
          <w:sz w:val="52"/>
          <w:szCs w:val="52"/>
        </w:rPr>
        <w:t>（XXXX度）</w:t>
      </w:r>
    </w:p>
    <w:p>
      <w:pPr>
        <w:pStyle w:val="34"/>
        <w:rPr>
          <w:rFonts w:ascii="微软雅黑" w:hAnsi="微软雅黑" w:eastAsia="微软雅黑"/>
          <w:sz w:val="28"/>
          <w:szCs w:val="28"/>
        </w:rPr>
      </w:pPr>
    </w:p>
    <w:p>
      <w:pPr>
        <w:pStyle w:val="34"/>
        <w:jc w:val="both"/>
        <w:rPr>
          <w:rFonts w:hint="eastAsia" w:ascii="微软雅黑" w:hAnsi="微软雅黑" w:eastAsia="微软雅黑"/>
          <w:sz w:val="36"/>
          <w:szCs w:val="36"/>
        </w:rPr>
      </w:pPr>
    </w:p>
    <w:p>
      <w:pPr>
        <w:pStyle w:val="34"/>
        <w:ind w:firstLine="2808" w:firstLineChars="800"/>
        <w:jc w:val="both"/>
        <w:rPr>
          <w:rFonts w:hint="eastAsia" w:ascii="微软雅黑" w:hAnsi="微软雅黑" w:eastAsia="微软雅黑"/>
          <w:sz w:val="36"/>
          <w:szCs w:val="36"/>
          <w:lang w:eastAsia="zh-CN"/>
        </w:rPr>
      </w:pPr>
      <w:r>
        <w:rPr>
          <w:rFonts w:hint="eastAsia" w:ascii="微软雅黑" w:hAnsi="微软雅黑" w:eastAsia="微软雅黑"/>
          <w:sz w:val="36"/>
          <w:szCs w:val="36"/>
        </w:rPr>
        <w:t>企业名称：</w:t>
      </w:r>
      <w:r>
        <w:rPr>
          <w:rFonts w:hint="eastAsia" w:ascii="微软雅黑" w:hAnsi="微软雅黑" w:eastAsia="微软雅黑"/>
          <w:sz w:val="36"/>
          <w:szCs w:val="36"/>
          <w:lang w:eastAsia="zh-CN"/>
        </w:rPr>
        <w:t>（盖章）</w:t>
      </w:r>
    </w:p>
    <w:p>
      <w:pPr>
        <w:pStyle w:val="34"/>
        <w:jc w:val="center"/>
        <w:rPr>
          <w:rFonts w:hint="eastAsia" w:ascii="微软雅黑" w:hAnsi="微软雅黑" w:eastAsia="微软雅黑"/>
          <w:sz w:val="36"/>
          <w:szCs w:val="36"/>
        </w:rPr>
      </w:pPr>
      <w:r>
        <w:rPr>
          <w:rFonts w:hint="eastAsia" w:ascii="微软雅黑" w:hAnsi="微软雅黑" w:eastAsia="微软雅黑"/>
          <w:sz w:val="36"/>
          <w:szCs w:val="36"/>
        </w:rPr>
        <w:t>档案管理员签名：</w:t>
      </w:r>
    </w:p>
    <w:p>
      <w:pPr>
        <w:pStyle w:val="34"/>
        <w:jc w:val="center"/>
        <w:rPr>
          <w:rFonts w:hint="eastAsia" w:ascii="微软雅黑" w:hAnsi="微软雅黑" w:eastAsia="微软雅黑"/>
          <w:sz w:val="36"/>
          <w:szCs w:val="36"/>
        </w:rPr>
      </w:pPr>
      <w:r>
        <w:rPr>
          <w:rFonts w:hint="eastAsia" w:ascii="微软雅黑" w:hAnsi="微软雅黑" w:eastAsia="微软雅黑"/>
          <w:sz w:val="36"/>
          <w:szCs w:val="36"/>
        </w:rPr>
        <w:t>企业负责人签名：</w:t>
      </w:r>
    </w:p>
    <w:p>
      <w:pPr>
        <w:pStyle w:val="34"/>
        <w:jc w:val="center"/>
        <w:rPr>
          <w:rFonts w:hint="eastAsia" w:ascii="微软雅黑" w:hAnsi="微软雅黑" w:eastAsia="微软雅黑"/>
          <w:sz w:val="36"/>
          <w:szCs w:val="36"/>
        </w:rPr>
      </w:pPr>
    </w:p>
    <w:p>
      <w:pPr>
        <w:pStyle w:val="34"/>
        <w:jc w:val="center"/>
        <w:rPr>
          <w:rFonts w:hint="eastAsia" w:ascii="楷体" w:hAnsi="楷体" w:eastAsia="楷体" w:cs="楷体"/>
          <w:sz w:val="32"/>
          <w:szCs w:val="32"/>
        </w:rPr>
      </w:pPr>
      <w:r>
        <w:rPr>
          <w:rFonts w:hint="eastAsia" w:ascii="微软雅黑" w:hAnsi="微软雅黑" w:eastAsia="微软雅黑"/>
          <w:sz w:val="36"/>
          <w:szCs w:val="36"/>
        </w:rPr>
        <w:t xml:space="preserve">  日期：    年    月     日</w:t>
      </w:r>
    </w:p>
    <w:p>
      <w:pPr>
        <w:pStyle w:val="34"/>
        <w:ind w:left="0" w:leftChars="0" w:right="0" w:rightChars="0" w:firstLine="0" w:firstLineChars="0"/>
        <w:jc w:val="center"/>
        <w:rPr>
          <w:rFonts w:hint="eastAsia"/>
          <w:b/>
          <w:sz w:val="32"/>
          <w:szCs w:val="32"/>
        </w:rPr>
      </w:pPr>
      <w:r>
        <w:rPr>
          <w:rFonts w:hint="eastAsia"/>
          <w:b/>
          <w:sz w:val="32"/>
          <w:szCs w:val="32"/>
        </w:rPr>
        <w:t>目  录</w:t>
      </w:r>
    </w:p>
    <w:p>
      <w:pPr>
        <w:pStyle w:val="34"/>
        <w:rPr>
          <w:rFonts w:hint="eastAsia"/>
          <w:b/>
          <w:sz w:val="32"/>
          <w:szCs w:val="32"/>
        </w:rPr>
      </w:pPr>
      <w:r>
        <w:rPr>
          <w:rFonts w:hint="eastAsia"/>
          <w:b/>
          <w:sz w:val="32"/>
          <w:szCs w:val="32"/>
        </w:rPr>
        <w:t xml:space="preserve">企业名称：  </w:t>
      </w:r>
      <w:r>
        <w:rPr>
          <w:rFonts w:hint="eastAsia"/>
          <w:b/>
          <w:sz w:val="32"/>
          <w:szCs w:val="32"/>
          <w:u w:val="single"/>
        </w:rPr>
        <w:t xml:space="preserve">        </w:t>
      </w:r>
      <w:r>
        <w:rPr>
          <w:rFonts w:hint="eastAsia"/>
          <w:b/>
          <w:sz w:val="32"/>
          <w:szCs w:val="32"/>
        </w:rPr>
        <w:t>盖章</w:t>
      </w:r>
      <w:r>
        <w:rPr>
          <w:rFonts w:hint="eastAsia"/>
          <w:b/>
          <w:sz w:val="32"/>
          <w:szCs w:val="32"/>
          <w:u w:val="single"/>
        </w:rPr>
        <w:t xml:space="preserve">           </w:t>
      </w:r>
      <w:r>
        <w:rPr>
          <w:rFonts w:hint="eastAsia"/>
          <w:b/>
          <w:sz w:val="32"/>
          <w:szCs w:val="32"/>
        </w:rPr>
        <w:t xml:space="preserve"> </w:t>
      </w:r>
    </w:p>
    <w:tbl>
      <w:tblPr>
        <w:tblStyle w:val="7"/>
        <w:tblW w:w="967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2904"/>
        <w:gridCol w:w="3524"/>
        <w:gridCol w:w="1374"/>
        <w:gridCol w:w="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黑体" w:hAnsi="黑体" w:eastAsia="黑体" w:cs="仿宋_GB2312"/>
                <w:sz w:val="28"/>
                <w:szCs w:val="32"/>
              </w:rPr>
            </w:pPr>
            <w:r>
              <w:rPr>
                <w:rFonts w:hint="eastAsia" w:ascii="黑体" w:hAnsi="黑体" w:eastAsia="黑体" w:cs="仿宋_GB2312"/>
                <w:sz w:val="28"/>
                <w:szCs w:val="32"/>
              </w:rPr>
              <w:t>序号</w:t>
            </w:r>
          </w:p>
        </w:tc>
        <w:tc>
          <w:tcPr>
            <w:tcW w:w="2904" w:type="dxa"/>
            <w:vAlign w:val="center"/>
          </w:tcPr>
          <w:p>
            <w:pPr>
              <w:pStyle w:val="34"/>
              <w:spacing w:line="500" w:lineRule="exact"/>
              <w:jc w:val="center"/>
              <w:rPr>
                <w:rFonts w:hint="eastAsia" w:ascii="黑体" w:hAnsi="黑体" w:eastAsia="黑体" w:cs="仿宋_GB2312"/>
                <w:sz w:val="28"/>
                <w:szCs w:val="32"/>
              </w:rPr>
            </w:pPr>
            <w:r>
              <w:rPr>
                <w:rFonts w:hint="eastAsia" w:ascii="黑体" w:hAnsi="黑体" w:eastAsia="黑体" w:cs="仿宋_GB2312"/>
                <w:sz w:val="28"/>
                <w:szCs w:val="32"/>
              </w:rPr>
              <w:t xml:space="preserve">   建档内容</w:t>
            </w:r>
          </w:p>
        </w:tc>
        <w:tc>
          <w:tcPr>
            <w:tcW w:w="3524" w:type="dxa"/>
            <w:vAlign w:val="center"/>
          </w:tcPr>
          <w:p>
            <w:pPr>
              <w:pStyle w:val="34"/>
              <w:spacing w:line="500" w:lineRule="exact"/>
              <w:jc w:val="center"/>
              <w:rPr>
                <w:rFonts w:hint="eastAsia" w:ascii="黑体" w:hAnsi="黑体" w:eastAsia="黑体" w:cs="仿宋_GB2312"/>
                <w:sz w:val="28"/>
                <w:szCs w:val="32"/>
              </w:rPr>
            </w:pPr>
            <w:r>
              <w:rPr>
                <w:rFonts w:hint="eastAsia" w:ascii="黑体" w:hAnsi="黑体" w:eastAsia="黑体" w:cs="仿宋_GB2312"/>
                <w:sz w:val="28"/>
                <w:szCs w:val="32"/>
              </w:rPr>
              <w:t>具体内容</w:t>
            </w:r>
          </w:p>
        </w:tc>
        <w:tc>
          <w:tcPr>
            <w:tcW w:w="1374" w:type="dxa"/>
            <w:vAlign w:val="center"/>
          </w:tcPr>
          <w:p>
            <w:pPr>
              <w:pStyle w:val="34"/>
              <w:spacing w:line="500" w:lineRule="exact"/>
              <w:jc w:val="center"/>
              <w:rPr>
                <w:rFonts w:hint="eastAsia" w:ascii="黑体" w:hAnsi="黑体" w:eastAsia="黑体" w:cs="仿宋_GB2312"/>
                <w:sz w:val="28"/>
                <w:szCs w:val="32"/>
              </w:rPr>
            </w:pPr>
            <w:r>
              <w:rPr>
                <w:rFonts w:hint="eastAsia" w:ascii="黑体" w:hAnsi="黑体" w:eastAsia="黑体" w:cs="仿宋_GB2312"/>
                <w:sz w:val="28"/>
                <w:szCs w:val="32"/>
              </w:rPr>
              <w:t>备注</w:t>
            </w:r>
          </w:p>
        </w:tc>
        <w:tc>
          <w:tcPr>
            <w:tcW w:w="996" w:type="dxa"/>
            <w:vAlign w:val="center"/>
          </w:tcPr>
          <w:p>
            <w:pPr>
              <w:pStyle w:val="34"/>
              <w:spacing w:line="500" w:lineRule="exact"/>
              <w:jc w:val="center"/>
              <w:rPr>
                <w:rFonts w:hint="eastAsia" w:ascii="黑体" w:hAnsi="黑体" w:eastAsia="黑体" w:cs="仿宋_GB2312"/>
                <w:sz w:val="28"/>
                <w:szCs w:val="32"/>
              </w:rPr>
            </w:pPr>
            <w:r>
              <w:rPr>
                <w:rFonts w:hint="eastAsia" w:ascii="黑体" w:hAnsi="黑体" w:eastAsia="黑体" w:cs="仿宋_GB2312"/>
                <w:sz w:val="28"/>
                <w:szCs w:val="32"/>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1</w:t>
            </w:r>
          </w:p>
        </w:tc>
        <w:tc>
          <w:tcPr>
            <w:tcW w:w="290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企业资料</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企业营业执照、法人、授权等资料，原件或复印件</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2</w:t>
            </w:r>
          </w:p>
        </w:tc>
        <w:tc>
          <w:tcPr>
            <w:tcW w:w="290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全</w:t>
            </w:r>
            <w:r>
              <w:rPr>
                <w:rFonts w:hint="eastAsia" w:ascii="仿宋_GB2312" w:hAnsi="仿宋_GB2312" w:eastAsia="仿宋_GB2312" w:cs="仿宋_GB2312"/>
                <w:sz w:val="28"/>
                <w:szCs w:val="32"/>
                <w:lang w:eastAsia="zh-CN"/>
              </w:rPr>
              <w:t>年</w:t>
            </w:r>
            <w:r>
              <w:rPr>
                <w:rFonts w:hint="eastAsia" w:ascii="仿宋_GB2312" w:hAnsi="仿宋_GB2312" w:eastAsia="仿宋_GB2312" w:cs="仿宋_GB2312"/>
                <w:sz w:val="28"/>
                <w:szCs w:val="32"/>
              </w:rPr>
              <w:t>安全教育培训计划表</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当年安全教育培训计划</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3</w:t>
            </w:r>
          </w:p>
        </w:tc>
        <w:tc>
          <w:tcPr>
            <w:tcW w:w="290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企业负责人</w:t>
            </w:r>
            <w:r>
              <w:rPr>
                <w:rFonts w:hint="eastAsia" w:ascii="仿宋_GB2312" w:hAnsi="仿宋_GB2312" w:eastAsia="仿宋_GB2312" w:cs="仿宋_GB2312"/>
                <w:sz w:val="28"/>
                <w:szCs w:val="32"/>
                <w:lang w:eastAsia="zh-CN"/>
              </w:rPr>
              <w:t>、</w:t>
            </w:r>
            <w:r>
              <w:rPr>
                <w:rFonts w:hint="eastAsia" w:ascii="仿宋_GB2312" w:hAnsi="仿宋_GB2312" w:eastAsia="仿宋_GB2312" w:cs="仿宋_GB2312"/>
                <w:sz w:val="28"/>
                <w:szCs w:val="32"/>
              </w:rPr>
              <w:t>安全管理人员信息</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培训考核（持证）情况</w:t>
            </w:r>
          </w:p>
        </w:tc>
        <w:tc>
          <w:tcPr>
            <w:tcW w:w="137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复审换证时间</w:t>
            </w: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4</w:t>
            </w:r>
          </w:p>
        </w:tc>
        <w:tc>
          <w:tcPr>
            <w:tcW w:w="290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特种作业人员信息</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本企业持证培训考核情况</w:t>
            </w:r>
          </w:p>
        </w:tc>
        <w:tc>
          <w:tcPr>
            <w:tcW w:w="137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清单列表，复审换证时间</w:t>
            </w: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5</w:t>
            </w:r>
          </w:p>
        </w:tc>
        <w:tc>
          <w:tcPr>
            <w:tcW w:w="290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日常安全培训情况</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企业员工培训、新员工三级教育培训（新进、换岗）日常教育签到情况</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6</w:t>
            </w:r>
          </w:p>
        </w:tc>
        <w:tc>
          <w:tcPr>
            <w:tcW w:w="2904" w:type="dxa"/>
            <w:vAlign w:val="center"/>
          </w:tcPr>
          <w:p>
            <w:pPr>
              <w:pStyle w:val="34"/>
              <w:spacing w:line="500" w:lineRule="exact"/>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员工三级安全教育卡</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lang w:eastAsia="zh-CN"/>
              </w:rPr>
              <w:t>企业员工三级安全教育卡</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7</w:t>
            </w:r>
          </w:p>
        </w:tc>
        <w:tc>
          <w:tcPr>
            <w:tcW w:w="2904" w:type="dxa"/>
            <w:vAlign w:val="center"/>
          </w:tcPr>
          <w:p>
            <w:pPr>
              <w:pStyle w:val="34"/>
              <w:wordWrap w:val="0"/>
              <w:ind w:right="560"/>
              <w:jc w:val="both"/>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企业安全生产诚信承诺书</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lang w:eastAsia="zh-CN"/>
              </w:rPr>
              <w:t>企业安全生产承诺书样本</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8</w:t>
            </w:r>
          </w:p>
        </w:tc>
        <w:tc>
          <w:tcPr>
            <w:tcW w:w="2904" w:type="dxa"/>
            <w:vAlign w:val="center"/>
          </w:tcPr>
          <w:p>
            <w:pPr>
              <w:pStyle w:val="34"/>
              <w:spacing w:line="500" w:lineRule="exact"/>
              <w:rPr>
                <w:rFonts w:hint="eastAsia" w:ascii="仿宋_GB2312" w:hAnsi="仿宋_GB2312" w:eastAsia="仿宋_GB2312" w:cs="仿宋_GB2312"/>
                <w:sz w:val="28"/>
                <w:szCs w:val="32"/>
                <w:lang w:eastAsia="zh-CN"/>
              </w:rPr>
            </w:pPr>
            <w:r>
              <w:rPr>
                <w:rFonts w:hint="eastAsia" w:ascii="仿宋_GB2312" w:hAnsi="仿宋_GB2312" w:eastAsia="仿宋_GB2312" w:cs="仿宋_GB2312"/>
                <w:sz w:val="28"/>
                <w:szCs w:val="32"/>
                <w:lang w:eastAsia="zh-CN"/>
              </w:rPr>
              <w:t>复工复产培训情况</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节后复产培训情况</w:t>
            </w:r>
            <w:r>
              <w:rPr>
                <w:rFonts w:hint="eastAsia" w:ascii="仿宋_GB2312" w:hAnsi="仿宋_GB2312" w:eastAsia="仿宋_GB2312" w:cs="仿宋_GB2312"/>
                <w:sz w:val="28"/>
                <w:szCs w:val="32"/>
                <w:lang w:eastAsia="zh-CN"/>
              </w:rPr>
              <w:t>统计表及样本</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881" w:type="dxa"/>
            <w:vAlign w:val="center"/>
          </w:tcPr>
          <w:p>
            <w:pPr>
              <w:pStyle w:val="34"/>
              <w:spacing w:line="500" w:lineRule="exact"/>
              <w:jc w:val="center"/>
              <w:rPr>
                <w:rFonts w:hint="eastAsia" w:ascii="仿宋_GB2312" w:hAnsi="仿宋_GB2312" w:eastAsia="仿宋_GB2312" w:cs="仿宋_GB2312"/>
                <w:sz w:val="28"/>
                <w:szCs w:val="32"/>
                <w:lang w:val="en-US" w:eastAsia="zh-CN"/>
              </w:rPr>
            </w:pPr>
            <w:r>
              <w:rPr>
                <w:rFonts w:hint="eastAsia" w:ascii="仿宋_GB2312" w:hAnsi="仿宋_GB2312" w:eastAsia="仿宋_GB2312" w:cs="仿宋_GB2312"/>
                <w:sz w:val="28"/>
                <w:szCs w:val="32"/>
                <w:lang w:val="en-US" w:eastAsia="zh-CN"/>
              </w:rPr>
              <w:t>9</w:t>
            </w:r>
          </w:p>
        </w:tc>
        <w:tc>
          <w:tcPr>
            <w:tcW w:w="290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其他安全培训情况</w:t>
            </w:r>
          </w:p>
        </w:tc>
        <w:tc>
          <w:tcPr>
            <w:tcW w:w="3524" w:type="dxa"/>
            <w:vAlign w:val="center"/>
          </w:tcPr>
          <w:p>
            <w:pPr>
              <w:pStyle w:val="34"/>
              <w:spacing w:line="500" w:lineRule="exact"/>
              <w:rPr>
                <w:rFonts w:hint="eastAsia" w:ascii="仿宋_GB2312" w:hAnsi="仿宋_GB2312" w:eastAsia="仿宋_GB2312" w:cs="仿宋_GB2312"/>
                <w:sz w:val="28"/>
                <w:szCs w:val="32"/>
              </w:rPr>
            </w:pPr>
            <w:r>
              <w:rPr>
                <w:rFonts w:hint="eastAsia" w:ascii="仿宋_GB2312" w:hAnsi="仿宋_GB2312" w:eastAsia="仿宋_GB2312" w:cs="仿宋_GB2312"/>
                <w:sz w:val="28"/>
                <w:szCs w:val="32"/>
              </w:rPr>
              <w:t>其他安全培训情况</w:t>
            </w:r>
          </w:p>
        </w:tc>
        <w:tc>
          <w:tcPr>
            <w:tcW w:w="1374" w:type="dxa"/>
            <w:vAlign w:val="center"/>
          </w:tcPr>
          <w:p>
            <w:pPr>
              <w:pStyle w:val="34"/>
              <w:spacing w:line="500" w:lineRule="exact"/>
              <w:rPr>
                <w:rFonts w:hint="eastAsia" w:ascii="仿宋_GB2312" w:hAnsi="仿宋_GB2312" w:eastAsia="仿宋_GB2312" w:cs="仿宋_GB2312"/>
                <w:sz w:val="28"/>
                <w:szCs w:val="32"/>
              </w:rPr>
            </w:pPr>
          </w:p>
        </w:tc>
        <w:tc>
          <w:tcPr>
            <w:tcW w:w="996" w:type="dxa"/>
            <w:vAlign w:val="center"/>
          </w:tcPr>
          <w:p>
            <w:pPr>
              <w:pStyle w:val="34"/>
              <w:spacing w:line="500" w:lineRule="exact"/>
              <w:rPr>
                <w:rFonts w:hint="eastAsia" w:ascii="仿宋_GB2312" w:hAnsi="仿宋_GB2312" w:eastAsia="仿宋_GB2312" w:cs="仿宋_GB2312"/>
                <w:sz w:val="28"/>
                <w:szCs w:val="32"/>
              </w:rPr>
            </w:pPr>
          </w:p>
        </w:tc>
      </w:tr>
    </w:tbl>
    <w:p>
      <w:pPr>
        <w:pStyle w:val="34"/>
        <w:wordWrap w:val="0"/>
        <w:ind w:right="560"/>
        <w:rPr>
          <w:rFonts w:hint="eastAsia" w:ascii="黑体" w:hAnsi="黑体" w:eastAsia="黑体" w:cs="楷体"/>
          <w:sz w:val="32"/>
          <w:szCs w:val="32"/>
        </w:rPr>
      </w:pPr>
    </w:p>
    <w:p>
      <w:pPr>
        <w:pStyle w:val="34"/>
        <w:wordWrap w:val="0"/>
        <w:ind w:right="560"/>
        <w:rPr>
          <w:rFonts w:hint="eastAsia" w:ascii="黑体" w:hAnsi="黑体" w:eastAsia="黑体" w:cs="楷体"/>
          <w:sz w:val="32"/>
          <w:szCs w:val="32"/>
        </w:rPr>
      </w:pPr>
    </w:p>
    <w:p>
      <w:pPr>
        <w:pStyle w:val="34"/>
        <w:wordWrap w:val="0"/>
        <w:ind w:right="560"/>
        <w:rPr>
          <w:rFonts w:hint="eastAsia" w:ascii="黑体" w:hAnsi="黑体" w:eastAsia="黑体" w:cs="楷体"/>
          <w:sz w:val="32"/>
          <w:szCs w:val="32"/>
        </w:rPr>
      </w:pPr>
    </w:p>
    <w:p>
      <w:pPr>
        <w:pStyle w:val="34"/>
        <w:keepNext w:val="0"/>
        <w:keepLines w:val="0"/>
        <w:pageBreakBefore w:val="0"/>
        <w:widowControl w:val="0"/>
        <w:kinsoku/>
        <w:wordWrap w:val="0"/>
        <w:overflowPunct/>
        <w:topLinePunct w:val="0"/>
        <w:autoSpaceDE/>
        <w:autoSpaceDN/>
        <w:bidi w:val="0"/>
        <w:adjustRightInd/>
        <w:snapToGrid/>
        <w:spacing w:before="0" w:beforeLines="0" w:after="0" w:afterLines="0" w:line="540" w:lineRule="exact"/>
        <w:ind w:left="0" w:leftChars="0" w:right="560"/>
        <w:jc w:val="center"/>
        <w:textAlignment w:val="auto"/>
        <w:rPr>
          <w:rFonts w:hint="eastAsia" w:ascii="方正小标宋简体" w:hAnsi="方正小标宋简体" w:eastAsia="方正小标宋简体" w:cs="黑体"/>
          <w:sz w:val="44"/>
          <w:szCs w:val="44"/>
        </w:rPr>
      </w:pPr>
    </w:p>
    <w:p>
      <w:pPr>
        <w:pStyle w:val="34"/>
        <w:keepNext w:val="0"/>
        <w:keepLines w:val="0"/>
        <w:pageBreakBefore w:val="0"/>
        <w:widowControl w:val="0"/>
        <w:kinsoku/>
        <w:wordWrap w:val="0"/>
        <w:overflowPunct/>
        <w:topLinePunct w:val="0"/>
        <w:autoSpaceDE/>
        <w:autoSpaceDN/>
        <w:bidi w:val="0"/>
        <w:adjustRightInd/>
        <w:snapToGrid/>
        <w:spacing w:before="0" w:beforeLines="0" w:after="0" w:afterLines="0" w:line="540" w:lineRule="exact"/>
        <w:ind w:left="0" w:leftChars="0" w:right="560"/>
        <w:jc w:val="center"/>
        <w:textAlignment w:val="auto"/>
        <w:rPr>
          <w:rFonts w:hint="eastAsia" w:ascii="方正小标宋简体" w:hAnsi="方正小标宋简体" w:eastAsia="方正小标宋简体" w:cs="黑体"/>
          <w:sz w:val="44"/>
          <w:szCs w:val="44"/>
        </w:rPr>
      </w:pPr>
      <w:r>
        <w:rPr>
          <w:rFonts w:hint="eastAsia" w:ascii="方正小标宋简体" w:hAnsi="方正小标宋简体" w:eastAsia="方正小标宋简体" w:cs="黑体"/>
          <w:sz w:val="44"/>
          <w:szCs w:val="44"/>
        </w:rPr>
        <w:t>安全生产</w:t>
      </w:r>
      <w:r>
        <w:rPr>
          <w:rFonts w:hint="eastAsia" w:ascii="方正小标宋简体" w:hAnsi="方正小标宋简体" w:eastAsia="方正小标宋简体" w:cs="黑体"/>
          <w:sz w:val="44"/>
          <w:szCs w:val="44"/>
          <w:lang w:eastAsia="zh-CN"/>
        </w:rPr>
        <w:t>诚信</w:t>
      </w:r>
      <w:r>
        <w:rPr>
          <w:rFonts w:hint="eastAsia" w:ascii="方正小标宋简体" w:hAnsi="方正小标宋简体" w:eastAsia="方正小标宋简体" w:cs="黑体"/>
          <w:sz w:val="44"/>
          <w:szCs w:val="44"/>
        </w:rPr>
        <w:t>承诺书</w:t>
      </w:r>
    </w:p>
    <w:p>
      <w:pPr>
        <w:pStyle w:val="34"/>
        <w:keepNext w:val="0"/>
        <w:keepLines w:val="0"/>
        <w:pageBreakBefore w:val="0"/>
        <w:widowControl w:val="0"/>
        <w:kinsoku/>
        <w:wordWrap w:val="0"/>
        <w:overflowPunct/>
        <w:topLinePunct w:val="0"/>
        <w:autoSpaceDE/>
        <w:autoSpaceDN/>
        <w:bidi w:val="0"/>
        <w:adjustRightInd/>
        <w:snapToGrid/>
        <w:spacing w:before="0" w:beforeLines="0" w:after="0" w:afterLines="0" w:line="540" w:lineRule="exact"/>
        <w:ind w:left="0" w:leftChars="0" w:right="560"/>
        <w:jc w:val="center"/>
        <w:textAlignment w:val="auto"/>
        <w:rPr>
          <w:rFonts w:hint="eastAsia" w:ascii="楷体_GB2312" w:hAnsi="楷体_GB2312" w:eastAsia="楷体_GB2312" w:cs="黑体"/>
          <w:sz w:val="32"/>
          <w:szCs w:val="44"/>
        </w:rPr>
      </w:pPr>
      <w:r>
        <w:rPr>
          <w:rFonts w:hint="eastAsia" w:ascii="楷体_GB2312" w:hAnsi="楷体_GB2312" w:eastAsia="楷体_GB2312" w:cs="黑体"/>
          <w:sz w:val="32"/>
          <w:szCs w:val="44"/>
        </w:rPr>
        <w:t>（参考范本）</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为切实履行安全生产主体责任，防止和减少生产安全事故发生，（注：填写生产经营单位名称全称）现向本单位从业人员和社会郑重承诺：</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一、切实履行节后复工复产“三个一”（即节后复产前进行一次全员安全生产培训，制定一套节后复产方案，完成一次复产前设施设备的全面检修），高危行业“六个一”工作目标。</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二、建立、完善和落实全员安全生产责任制和安全管理制度。企业主要负责人定期听取安全生产工作报告、研究安全生产问题、至少每半年组织一次安全生产全面检查。</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三、依法配置安全生产管理机构和人员，切实保障以上机构和人员履行安全管理职责。</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四、依法保证安全生产资金投入，依法提取和使用安全生产费用，不挤占、不挪用；按规定购买安全生产责任保险。</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五、落实全员安全生产培训制度，明确告知从业人员岗位危险因素、防范措施和应急措施，保证安全培训不合格者不得上岗、未持证者不得从事特种作业。</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六、依法为从业人员提供劳动防护用品并教育从业人员正确佩带；及时纠正违章操作行为，坚决杜绝违章指挥和强令违章冒险作业。</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七、切实加强对（注：根据企业特点列举、补充危险作业，如涉气、爆破、吊装、高空悬挂、有限空间）等危险作业的安全管理。每半年至少开展一次风险点危险源排查，全面识别安全风险，有效落实管控措施。定期开展事故隐患排查，及时消除隐患，按规定向当地安全监管部门报告重大事故隐患排查治理情况。</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八、严格落实建设项目安全设施“三同时”，做好安全警示和安全设备日常维护，不使用淘汰的或明令禁止的工艺、设备和材料。</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九、严格依照许可范围从事矿山生产、危险化学品生产经营使用、烟花爆竹经营等活动，严禁非法违法生产经营。</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十、组织制定并实施本单位生产安全事故应急救援预案，按规定建立应急管理队伍，储备必要应急物资，每年至少组织一次事故应急救援演练。如发生生产安全事故，保证及时、如实报告当地应急管理（安全监管）部门。</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我单位将严格遵守《中华人民共和国安全生产法》和《广东省安全生产条例》等国家及省有关安全生产法律、法规和标准规定，认真履行承诺，依法建设施工和生产经营，积极配合应急管理（安全监管）部门的监督检查，自觉维护从业人员和公众权益，接受社会监督。如有违反，我单位愿意承担相应法律责任。</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right="201" w:rightChars="100"/>
        <w:jc w:val="both"/>
        <w:textAlignment w:val="auto"/>
        <w:outlineLvl w:val="9"/>
        <w:rPr>
          <w:rFonts w:hint="eastAsia" w:ascii="仿宋_GB2312" w:eastAsia="仿宋_GB2312"/>
          <w:sz w:val="32"/>
          <w:szCs w:val="32"/>
          <w:lang w:eastAsia="zh-CN"/>
        </w:rPr>
      </w:pP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622"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 xml:space="preserve"> </w:t>
      </w:r>
      <w:r>
        <w:rPr>
          <w:rFonts w:hint="eastAsia" w:ascii="仿宋_GB2312" w:eastAsia="仿宋_GB2312"/>
          <w:sz w:val="32"/>
          <w:szCs w:val="32"/>
          <w:lang w:val="en-US" w:eastAsia="zh-CN"/>
        </w:rPr>
        <w:t xml:space="preserve">                  </w:t>
      </w:r>
      <w:r>
        <w:rPr>
          <w:rFonts w:hint="eastAsia" w:ascii="仿宋_GB2312" w:eastAsia="仿宋_GB2312"/>
          <w:sz w:val="32"/>
          <w:szCs w:val="32"/>
        </w:rPr>
        <w:t>承诺单位(盖章)：</w:t>
      </w:r>
    </w:p>
    <w:p>
      <w:pPr>
        <w:pStyle w:val="34"/>
        <w:keepNext w:val="0"/>
        <w:keepLines w:val="0"/>
        <w:pageBreakBefore w:val="0"/>
        <w:widowControl w:val="0"/>
        <w:kinsoku/>
        <w:wordWrap/>
        <w:overflowPunct/>
        <w:topLinePunct w:val="0"/>
        <w:autoSpaceDE/>
        <w:autoSpaceDN/>
        <w:bidi w:val="0"/>
        <w:adjustRightInd/>
        <w:snapToGrid/>
        <w:spacing w:before="0" w:beforeLines="0" w:after="0" w:afterLines="0" w:line="540" w:lineRule="exact"/>
        <w:ind w:left="0" w:leftChars="0" w:right="201" w:rightChars="100" w:firstLine="3732" w:firstLineChars="1200"/>
        <w:jc w:val="both"/>
        <w:textAlignment w:val="auto"/>
        <w:outlineLvl w:val="9"/>
        <w:rPr>
          <w:rFonts w:hint="eastAsia" w:ascii="仿宋_GB2312" w:eastAsia="仿宋_GB2312"/>
          <w:sz w:val="32"/>
          <w:szCs w:val="32"/>
          <w:lang w:val="en-US" w:eastAsia="zh-CN"/>
        </w:rPr>
      </w:pPr>
      <w:r>
        <w:rPr>
          <w:rFonts w:hint="eastAsia" w:ascii="仿宋_GB2312" w:eastAsia="仿宋_GB2312"/>
          <w:sz w:val="32"/>
          <w:szCs w:val="32"/>
          <w:lang w:eastAsia="zh-CN"/>
        </w:rPr>
        <w:t>法定</w:t>
      </w:r>
      <w:r>
        <w:rPr>
          <w:rFonts w:hint="eastAsia" w:ascii="仿宋_GB2312" w:eastAsia="仿宋_GB2312"/>
          <w:sz w:val="32"/>
          <w:szCs w:val="32"/>
        </w:rPr>
        <w:t xml:space="preserve">代表人签字： </w:t>
      </w:r>
      <w:r>
        <w:rPr>
          <w:rFonts w:hint="eastAsia" w:ascii="仿宋_GB2312" w:eastAsia="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r>
        <w:rPr>
          <w:rFonts w:hint="eastAsia" w:ascii="仿宋_GB2312" w:eastAsia="仿宋_GB2312"/>
          <w:sz w:val="32"/>
          <w:szCs w:val="32"/>
          <w:lang w:val="en-US" w:eastAsia="zh-CN"/>
        </w:rPr>
        <w:t xml:space="preserve">                                </w:t>
      </w:r>
      <w:r>
        <w:rPr>
          <w:rFonts w:hint="eastAsia" w:ascii="仿宋_GB2312" w:eastAsia="仿宋_GB2312"/>
          <w:sz w:val="32"/>
          <w:szCs w:val="32"/>
        </w:rPr>
        <w:t>年</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月</w:t>
      </w:r>
      <w:r>
        <w:rPr>
          <w:rFonts w:hint="eastAsia" w:ascii="仿宋_GB2312" w:eastAsia="仿宋_GB2312"/>
          <w:sz w:val="32"/>
          <w:szCs w:val="32"/>
          <w:lang w:val="en-US" w:eastAsia="zh-CN"/>
        </w:rPr>
        <w:t xml:space="preserve">   </w:t>
      </w:r>
      <w:r>
        <w:rPr>
          <w:rFonts w:hint="eastAsia" w:ascii="仿宋_GB2312" w:eastAsia="仿宋_GB2312"/>
          <w:sz w:val="32"/>
          <w:szCs w:val="32"/>
        </w:rPr>
        <w:t xml:space="preserve"> 日</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sectPr>
          <w:pgSz w:w="11906" w:h="16838"/>
          <w:pgMar w:top="2098" w:right="1474" w:bottom="1985" w:left="1588" w:header="851" w:footer="1418" w:gutter="0"/>
          <w:pgNumType w:fmt="numberInDash"/>
          <w:cols w:space="720" w:num="1"/>
          <w:docGrid w:type="linesAndChars" w:linePitch="579" w:charSpace="-1844"/>
        </w:sectPr>
      </w:pPr>
    </w:p>
    <w:p>
      <w:pPr>
        <w:pStyle w:val="24"/>
        <w:ind w:right="560"/>
        <w:jc w:val="center"/>
        <w:outlineLvl w:val="0"/>
        <w:rPr>
          <w:rFonts w:hint="eastAsia" w:ascii="方正小标宋简体" w:hAnsi="方正小标宋简体" w:eastAsia="方正小标宋简体"/>
          <w:bCs/>
          <w:sz w:val="44"/>
        </w:rPr>
      </w:pPr>
      <w:bookmarkStart w:id="0" w:name="_Toc436668021"/>
      <w:r>
        <w:rPr>
          <w:rFonts w:hint="eastAsia" w:ascii="方正小标宋简体" w:hAnsi="方正小标宋简体" w:eastAsia="方正小标宋简体"/>
          <w:bCs/>
          <w:sz w:val="44"/>
          <w:szCs w:val="36"/>
        </w:rPr>
        <w:t>XXX年度安全教育培训计划表</w:t>
      </w:r>
      <w:bookmarkEnd w:id="0"/>
      <w:r>
        <w:rPr>
          <w:rFonts w:hint="eastAsia" w:ascii="方正小标宋简体" w:hAnsi="方正小标宋简体" w:eastAsia="方正小标宋简体"/>
          <w:bCs/>
          <w:sz w:val="44"/>
          <w:szCs w:val="36"/>
        </w:rPr>
        <w:t>样本</w:t>
      </w:r>
    </w:p>
    <w:p>
      <w:pPr>
        <w:pStyle w:val="24"/>
        <w:rPr>
          <w:rFonts w:hint="eastAsia" w:ascii="仿宋_GB2312" w:hAnsi="仿宋_GB2312" w:eastAsia="仿宋_GB2312"/>
          <w:bCs/>
          <w:sz w:val="28"/>
        </w:rPr>
      </w:pPr>
      <w:r>
        <w:rPr>
          <w:rFonts w:hint="eastAsia" w:ascii="仿宋_GB2312" w:hAnsi="仿宋_GB2312" w:eastAsia="仿宋_GB2312"/>
          <w:bCs/>
          <w:sz w:val="28"/>
        </w:rPr>
        <w:t>企业：盖章</w:t>
      </w:r>
    </w:p>
    <w:tbl>
      <w:tblPr>
        <w:tblStyle w:val="7"/>
        <w:tblW w:w="129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2199"/>
        <w:gridCol w:w="1283"/>
        <w:gridCol w:w="1878"/>
        <w:gridCol w:w="1564"/>
        <w:gridCol w:w="1409"/>
        <w:gridCol w:w="1429"/>
        <w:gridCol w:w="1430"/>
        <w:gridCol w:w="10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left="-30" w:leftChars="-15" w:right="-108" w:rightChars="-54"/>
              <w:jc w:val="center"/>
              <w:textAlignment w:val="auto"/>
              <w:outlineLvl w:val="9"/>
              <w:rPr>
                <w:rFonts w:hint="eastAsia" w:ascii="黑体" w:hAnsi="黑体" w:eastAsia="黑体"/>
                <w:sz w:val="24"/>
              </w:rPr>
            </w:pPr>
            <w:r>
              <w:rPr>
                <w:rFonts w:hint="eastAsia" w:ascii="黑体" w:hAnsi="黑体" w:eastAsia="黑体"/>
                <w:sz w:val="24"/>
              </w:rPr>
              <w:t>序号</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培训项目</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培训</w:t>
            </w:r>
          </w:p>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方式</w:t>
            </w: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参加培训对象</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学时</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lang w:eastAsia="zh-CN"/>
              </w:rPr>
              <w:t>计划</w:t>
            </w:r>
            <w:r>
              <w:rPr>
                <w:rFonts w:hint="eastAsia" w:ascii="黑体" w:hAnsi="黑体" w:eastAsia="黑体"/>
                <w:sz w:val="24"/>
              </w:rPr>
              <w:t>人数</w:t>
            </w: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责任部门</w:t>
            </w: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lang w:eastAsia="zh-CN"/>
              </w:rPr>
              <w:t>计划</w:t>
            </w:r>
            <w:r>
              <w:rPr>
                <w:rFonts w:hint="eastAsia" w:ascii="黑体" w:hAnsi="黑体" w:eastAsia="黑体"/>
                <w:sz w:val="24"/>
              </w:rPr>
              <w:t>投入经费</w:t>
            </w: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黑体" w:hAnsi="黑体" w:eastAsia="黑体"/>
                <w:sz w:val="24"/>
              </w:rPr>
            </w:pPr>
            <w:r>
              <w:rPr>
                <w:rFonts w:hint="eastAsia" w:ascii="黑体" w:hAnsi="黑体" w:eastAsia="黑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1</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公司主要负责人、安全管理人员培训</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安全负责人</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32（初</w:t>
            </w:r>
            <w:r>
              <w:rPr>
                <w:rFonts w:hint="eastAsia" w:ascii="新宋体" w:hAnsi="新宋体" w:eastAsia="新宋体"/>
                <w:sz w:val="24"/>
                <w:lang w:eastAsia="zh-CN"/>
              </w:rPr>
              <w:t>训</w:t>
            </w:r>
            <w:r>
              <w:rPr>
                <w:rFonts w:hint="eastAsia" w:ascii="新宋体" w:hAnsi="新宋体" w:eastAsia="新宋体"/>
                <w:sz w:val="24"/>
              </w:rPr>
              <w:t>）</w:t>
            </w:r>
          </w:p>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16（</w:t>
            </w:r>
            <w:r>
              <w:rPr>
                <w:rFonts w:hint="eastAsia" w:ascii="新宋体" w:hAnsi="新宋体" w:eastAsia="新宋体"/>
                <w:sz w:val="24"/>
                <w:lang w:eastAsia="zh-CN"/>
              </w:rPr>
              <w:t>复训</w:t>
            </w:r>
            <w:r>
              <w:rPr>
                <w:rFonts w:hint="eastAsia" w:ascii="新宋体" w:hAnsi="新宋体" w:eastAsia="新宋体"/>
                <w:sz w:val="24"/>
              </w:rPr>
              <w:t>）</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2</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安全责任制</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全员</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3</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安全管理制度</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全员</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4</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特种作业人员</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特种人员</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5</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新进厂员工三级教育培训</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新员工</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24</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6</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安全生产标准化</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全员</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7</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应急培训</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全员</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textAlignment w:val="auto"/>
              <w:outlineLvl w:val="9"/>
              <w:rPr>
                <w:rFonts w:hint="eastAsia" w:ascii="新宋体" w:hAnsi="新宋体" w:eastAsia="新宋体"/>
                <w:sz w:val="24"/>
              </w:rPr>
            </w:pPr>
            <w:r>
              <w:rPr>
                <w:rFonts w:hint="eastAsia" w:ascii="新宋体" w:hAnsi="新宋体" w:eastAsia="新宋体"/>
                <w:sz w:val="24"/>
              </w:rPr>
              <w:t>作业岗位安全操作培训</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全员</w:t>
            </w: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8</w:t>
            </w: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140" w:rightChars="0"/>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140" w:rightChars="0"/>
              <w:jc w:val="center"/>
              <w:textAlignment w:val="auto"/>
              <w:outlineLvl w:val="9"/>
              <w:rPr>
                <w:rFonts w:hint="eastAsia" w:ascii="新宋体" w:hAnsi="新宋体" w:eastAsia="新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706"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r>
              <w:rPr>
                <w:rFonts w:hint="eastAsia" w:ascii="新宋体" w:hAnsi="新宋体" w:eastAsia="新宋体"/>
                <w:sz w:val="24"/>
              </w:rPr>
              <w:t>9</w:t>
            </w:r>
          </w:p>
        </w:tc>
        <w:tc>
          <w:tcPr>
            <w:tcW w:w="219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firstLine="462" w:firstLineChars="200"/>
              <w:textAlignment w:val="auto"/>
              <w:outlineLvl w:val="9"/>
              <w:rPr>
                <w:rFonts w:hint="eastAsia" w:ascii="新宋体" w:hAnsi="新宋体" w:eastAsia="新宋体"/>
                <w:sz w:val="24"/>
              </w:rPr>
            </w:pPr>
            <w:r>
              <w:rPr>
                <w:rFonts w:hint="eastAsia" w:ascii="新宋体" w:hAnsi="新宋体" w:eastAsia="新宋体"/>
                <w:sz w:val="24"/>
              </w:rPr>
              <w:t>………</w:t>
            </w:r>
          </w:p>
        </w:tc>
        <w:tc>
          <w:tcPr>
            <w:tcW w:w="1283"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878"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56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0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29"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jc w:val="center"/>
              <w:textAlignment w:val="auto"/>
              <w:outlineLvl w:val="9"/>
              <w:rPr>
                <w:rFonts w:hint="eastAsia" w:ascii="新宋体" w:hAnsi="新宋体" w:eastAsia="新宋体"/>
                <w:sz w:val="24"/>
              </w:rPr>
            </w:pPr>
          </w:p>
        </w:tc>
        <w:tc>
          <w:tcPr>
            <w:tcW w:w="1430"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140" w:rightChars="0"/>
              <w:jc w:val="center"/>
              <w:textAlignment w:val="auto"/>
              <w:outlineLvl w:val="9"/>
              <w:rPr>
                <w:rFonts w:hint="eastAsia" w:ascii="新宋体" w:hAnsi="新宋体" w:eastAsia="新宋体"/>
                <w:sz w:val="24"/>
              </w:rPr>
            </w:pPr>
          </w:p>
        </w:tc>
        <w:tc>
          <w:tcPr>
            <w:tcW w:w="1074" w:type="dxa"/>
            <w:vAlign w:val="center"/>
          </w:tcPr>
          <w:p>
            <w:pPr>
              <w:pStyle w:val="24"/>
              <w:keepNext w:val="0"/>
              <w:keepLines w:val="0"/>
              <w:pageBreakBefore w:val="0"/>
              <w:widowControl w:val="0"/>
              <w:kinsoku/>
              <w:wordWrap/>
              <w:overflowPunct/>
              <w:topLinePunct w:val="0"/>
              <w:autoSpaceDE/>
              <w:autoSpaceDN/>
              <w:bidi w:val="0"/>
              <w:adjustRightInd/>
              <w:snapToGrid/>
              <w:spacing w:before="0" w:beforeLines="0" w:after="0" w:afterLines="0" w:line="360" w:lineRule="exact"/>
              <w:ind w:right="140" w:rightChars="0"/>
              <w:jc w:val="center"/>
              <w:textAlignment w:val="auto"/>
              <w:outlineLvl w:val="9"/>
              <w:rPr>
                <w:rFonts w:hint="eastAsia" w:ascii="新宋体" w:hAnsi="新宋体" w:eastAsia="新宋体"/>
                <w:sz w:val="24"/>
              </w:rPr>
            </w:pPr>
          </w:p>
        </w:tc>
      </w:tr>
    </w:tbl>
    <w:p>
      <w:pPr>
        <w:pStyle w:val="24"/>
        <w:rPr>
          <w:rFonts w:hint="eastAsia" w:ascii="仿宋_GB2312" w:hAnsi="仿宋_GB2312" w:eastAsia="仿宋_GB2312" w:cs="Times New Roman"/>
          <w:sz w:val="32"/>
          <w:szCs w:val="32"/>
          <w:lang w:eastAsia="zh-CN"/>
        </w:rPr>
      </w:pPr>
      <w:r>
        <w:rPr>
          <w:rFonts w:hint="eastAsia" w:ascii="仿宋_GB2312" w:hAnsi="仿宋_GB2312" w:eastAsia="仿宋_GB2312" w:cs="Times New Roman"/>
          <w:sz w:val="32"/>
          <w:szCs w:val="32"/>
          <w:lang w:eastAsia="zh-CN"/>
        </w:rPr>
        <w:t>备注：培训方式有政府部门组织培训、企业自行组织培训、聘请中介机构培训讲课。根据新《安全生产法》第九十七条第四款，企业未如实记录安全生产教育和培训情况的，可对企业作出处罚。</w:t>
      </w:r>
    </w:p>
    <w:p>
      <w:pPr>
        <w:pStyle w:val="35"/>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仿宋_GB2312" w:hAnsi="仿宋_GB2312" w:eastAsia="仿宋_GB2312" w:cs="仿宋_GB2312"/>
          <w:kern w:val="2"/>
          <w:sz w:val="32"/>
          <w:szCs w:val="32"/>
          <w:lang w:val="en-US" w:eastAsia="zh-CN"/>
        </w:rPr>
        <w:sectPr>
          <w:headerReference r:id="rId5" w:type="default"/>
          <w:footerReference r:id="rId7" w:type="default"/>
          <w:headerReference r:id="rId6" w:type="even"/>
          <w:footerReference r:id="rId8" w:type="even"/>
          <w:pgSz w:w="16838" w:h="11906" w:orient="landscape"/>
          <w:pgMar w:top="1588" w:right="2098" w:bottom="1474" w:left="1985" w:header="851" w:footer="1418" w:gutter="0"/>
          <w:pgNumType w:fmt="numberInDash"/>
          <w:cols w:space="720" w:num="1"/>
          <w:docGrid w:type="linesAndChars" w:linePitch="579" w:charSpace="-1844"/>
        </w:sectPr>
      </w:pPr>
    </w:p>
    <w:p>
      <w:pPr>
        <w:pStyle w:val="22"/>
        <w:rPr>
          <w:rFonts w:hint="eastAsia" w:ascii="黑体" w:hAnsi="黑体" w:eastAsia="黑体"/>
          <w:color w:val="auto"/>
          <w:lang w:val="en-US" w:eastAsia="zh-CN"/>
        </w:rPr>
      </w:pPr>
      <w:r>
        <w:rPr>
          <w:rFonts w:hint="eastAsia" w:ascii="黑体" w:hAnsi="黑体" w:eastAsia="黑体"/>
          <w:color w:val="auto"/>
        </w:rPr>
        <w:t>附件</w:t>
      </w:r>
      <w:r>
        <w:rPr>
          <w:rFonts w:hint="eastAsia" w:ascii="黑体" w:hAnsi="黑体" w:eastAsia="黑体"/>
          <w:color w:val="auto"/>
          <w:lang w:val="en-US" w:eastAsia="zh-CN"/>
        </w:rPr>
        <w:t>6</w:t>
      </w:r>
    </w:p>
    <w:p>
      <w:pPr>
        <w:pStyle w:val="37"/>
        <w:spacing w:line="600" w:lineRule="exact"/>
        <w:jc w:val="center"/>
        <w:rPr>
          <w:rFonts w:hint="eastAsia" w:ascii="方正小标宋简体" w:hAnsi="方正小标宋简体" w:eastAsia="方正小标宋简体" w:cs="黑体"/>
          <w:color w:val="auto"/>
          <w:sz w:val="44"/>
          <w:szCs w:val="32"/>
        </w:rPr>
      </w:pPr>
      <w:r>
        <w:rPr>
          <w:rFonts w:hint="eastAsia" w:ascii="方正小标宋简体" w:hAnsi="方正小标宋简体" w:eastAsia="方正小标宋简体" w:cs="黑体"/>
          <w:color w:val="auto"/>
          <w:sz w:val="44"/>
          <w:szCs w:val="32"/>
          <w:lang w:eastAsia="zh-CN"/>
        </w:rPr>
        <w:t>南海区2022</w:t>
      </w:r>
      <w:r>
        <w:rPr>
          <w:rFonts w:hint="eastAsia" w:ascii="方正小标宋简体" w:hAnsi="方正小标宋简体" w:eastAsia="方正小标宋简体" w:cs="黑体"/>
          <w:color w:val="auto"/>
          <w:sz w:val="44"/>
          <w:szCs w:val="32"/>
        </w:rPr>
        <w:t>年</w:t>
      </w:r>
      <w:r>
        <w:rPr>
          <w:rFonts w:hint="eastAsia" w:ascii="方正小标宋简体" w:hAnsi="方正小标宋简体" w:eastAsia="方正小标宋简体" w:cs="黑体"/>
          <w:color w:val="auto"/>
          <w:sz w:val="44"/>
          <w:szCs w:val="32"/>
          <w:lang w:eastAsia="zh-CN"/>
        </w:rPr>
        <w:t>节后复工复产</w:t>
      </w:r>
      <w:r>
        <w:rPr>
          <w:rFonts w:hint="eastAsia" w:ascii="方正小标宋简体" w:hAnsi="方正小标宋简体" w:eastAsia="方正小标宋简体" w:cs="黑体"/>
          <w:color w:val="auto"/>
          <w:sz w:val="44"/>
          <w:szCs w:val="32"/>
        </w:rPr>
        <w:t>培训工作联系人报名表</w:t>
      </w:r>
    </w:p>
    <w:p>
      <w:pPr>
        <w:pStyle w:val="37"/>
        <w:spacing w:line="600" w:lineRule="exact"/>
        <w:rPr>
          <w:rFonts w:ascii="仿宋_GB2312" w:hAnsi="仿宋_GB2312" w:eastAsia="仿宋_GB2312"/>
          <w:color w:val="auto"/>
          <w:sz w:val="32"/>
          <w:szCs w:val="20"/>
        </w:rPr>
      </w:pPr>
      <w:r>
        <w:rPr>
          <w:rFonts w:hint="eastAsia" w:ascii="仿宋_GB2312" w:hAnsi="仿宋_GB2312" w:eastAsia="仿宋_GB2312"/>
          <w:color w:val="auto"/>
          <w:sz w:val="32"/>
          <w:szCs w:val="20"/>
        </w:rPr>
        <w:t>填报单位：</w:t>
      </w:r>
      <w:r>
        <w:rPr>
          <w:rFonts w:ascii="仿宋_GB2312" w:hAnsi="仿宋_GB2312" w:eastAsia="仿宋_GB2312"/>
          <w:color w:val="auto"/>
          <w:sz w:val="32"/>
          <w:szCs w:val="20"/>
        </w:rPr>
        <w:t xml:space="preserve">                            </w:t>
      </w:r>
      <w:r>
        <w:rPr>
          <w:rFonts w:hint="eastAsia" w:ascii="仿宋_GB2312" w:hAnsi="仿宋_GB2312" w:eastAsia="仿宋_GB2312"/>
          <w:color w:val="auto"/>
          <w:sz w:val="32"/>
          <w:szCs w:val="20"/>
          <w:lang w:val="en-US" w:eastAsia="zh-CN"/>
        </w:rPr>
        <w:t xml:space="preserve">        </w:t>
      </w:r>
      <w:r>
        <w:rPr>
          <w:rFonts w:ascii="仿宋_GB2312" w:hAnsi="仿宋_GB2312" w:eastAsia="仿宋_GB2312"/>
          <w:color w:val="auto"/>
          <w:sz w:val="32"/>
          <w:szCs w:val="20"/>
        </w:rPr>
        <w:t xml:space="preserve">      </w:t>
      </w:r>
      <w:r>
        <w:rPr>
          <w:rFonts w:hint="eastAsia" w:ascii="仿宋_GB2312" w:hAnsi="仿宋_GB2312" w:eastAsia="仿宋_GB2312"/>
          <w:color w:val="auto"/>
          <w:sz w:val="32"/>
          <w:szCs w:val="20"/>
        </w:rPr>
        <w:t>填报时间：</w:t>
      </w:r>
      <w:r>
        <w:rPr>
          <w:rFonts w:ascii="仿宋_GB2312" w:hAnsi="仿宋_GB2312" w:eastAsia="仿宋_GB2312"/>
          <w:color w:val="auto"/>
          <w:sz w:val="32"/>
          <w:szCs w:val="20"/>
        </w:rPr>
        <w:t xml:space="preserve">    </w:t>
      </w:r>
    </w:p>
    <w:tbl>
      <w:tblPr>
        <w:tblStyle w:val="7"/>
        <w:tblW w:w="1243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0"/>
        <w:gridCol w:w="1615"/>
        <w:gridCol w:w="2311"/>
        <w:gridCol w:w="2835"/>
        <w:gridCol w:w="37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930" w:type="dxa"/>
            <w:vAlign w:val="top"/>
          </w:tcPr>
          <w:p>
            <w:pPr>
              <w:pStyle w:val="37"/>
              <w:spacing w:line="600" w:lineRule="exact"/>
              <w:jc w:val="center"/>
              <w:rPr>
                <w:rFonts w:hint="eastAsia" w:ascii="黑体" w:hAnsi="黑体" w:eastAsia="黑体"/>
                <w:color w:val="auto"/>
                <w:kern w:val="0"/>
                <w:sz w:val="32"/>
                <w:szCs w:val="20"/>
              </w:rPr>
            </w:pPr>
            <w:r>
              <w:rPr>
                <w:rFonts w:hint="eastAsia" w:ascii="黑体" w:hAnsi="黑体" w:eastAsia="黑体"/>
                <w:color w:val="auto"/>
                <w:kern w:val="0"/>
                <w:sz w:val="32"/>
                <w:szCs w:val="20"/>
              </w:rPr>
              <w:t>姓名</w:t>
            </w:r>
          </w:p>
        </w:tc>
        <w:tc>
          <w:tcPr>
            <w:tcW w:w="1615" w:type="dxa"/>
            <w:vAlign w:val="top"/>
          </w:tcPr>
          <w:p>
            <w:pPr>
              <w:pStyle w:val="37"/>
              <w:spacing w:line="600" w:lineRule="exact"/>
              <w:jc w:val="center"/>
              <w:rPr>
                <w:rFonts w:hint="eastAsia" w:ascii="黑体" w:hAnsi="黑体" w:eastAsia="黑体"/>
                <w:color w:val="auto"/>
                <w:kern w:val="0"/>
                <w:sz w:val="32"/>
                <w:szCs w:val="20"/>
              </w:rPr>
            </w:pPr>
            <w:r>
              <w:rPr>
                <w:rFonts w:hint="eastAsia" w:ascii="黑体" w:hAnsi="黑体" w:eastAsia="黑体"/>
                <w:color w:val="auto"/>
                <w:kern w:val="0"/>
                <w:sz w:val="32"/>
                <w:szCs w:val="20"/>
              </w:rPr>
              <w:t>职 务</w:t>
            </w:r>
          </w:p>
        </w:tc>
        <w:tc>
          <w:tcPr>
            <w:tcW w:w="2311" w:type="dxa"/>
            <w:vAlign w:val="top"/>
          </w:tcPr>
          <w:p>
            <w:pPr>
              <w:pStyle w:val="37"/>
              <w:spacing w:line="600" w:lineRule="exact"/>
              <w:jc w:val="center"/>
              <w:rPr>
                <w:rFonts w:hint="eastAsia" w:ascii="黑体" w:hAnsi="黑体" w:eastAsia="黑体"/>
                <w:color w:val="auto"/>
                <w:kern w:val="0"/>
                <w:sz w:val="32"/>
                <w:szCs w:val="20"/>
                <w:lang w:eastAsia="zh-CN"/>
              </w:rPr>
            </w:pPr>
            <w:r>
              <w:rPr>
                <w:rFonts w:hint="eastAsia" w:ascii="黑体" w:hAnsi="黑体" w:eastAsia="黑体"/>
                <w:color w:val="auto"/>
                <w:kern w:val="0"/>
                <w:sz w:val="32"/>
                <w:szCs w:val="20"/>
                <w:lang w:eastAsia="zh-CN"/>
              </w:rPr>
              <w:t>办公电话</w:t>
            </w:r>
          </w:p>
        </w:tc>
        <w:tc>
          <w:tcPr>
            <w:tcW w:w="2835" w:type="dxa"/>
            <w:vAlign w:val="top"/>
          </w:tcPr>
          <w:p>
            <w:pPr>
              <w:pStyle w:val="37"/>
              <w:spacing w:line="600" w:lineRule="exact"/>
              <w:jc w:val="center"/>
              <w:rPr>
                <w:rFonts w:hint="eastAsia" w:ascii="黑体" w:hAnsi="黑体" w:eastAsia="黑体"/>
                <w:color w:val="auto"/>
                <w:kern w:val="0"/>
                <w:sz w:val="32"/>
                <w:szCs w:val="20"/>
                <w:lang w:eastAsia="zh-CN"/>
              </w:rPr>
            </w:pPr>
            <w:r>
              <w:rPr>
                <w:rFonts w:hint="eastAsia" w:ascii="黑体" w:hAnsi="黑体" w:eastAsia="黑体"/>
                <w:color w:val="auto"/>
                <w:kern w:val="0"/>
                <w:sz w:val="32"/>
                <w:szCs w:val="20"/>
                <w:lang w:eastAsia="zh-CN"/>
              </w:rPr>
              <w:t>手机</w:t>
            </w:r>
          </w:p>
        </w:tc>
        <w:tc>
          <w:tcPr>
            <w:tcW w:w="3739" w:type="dxa"/>
            <w:vAlign w:val="top"/>
          </w:tcPr>
          <w:p>
            <w:pPr>
              <w:pStyle w:val="37"/>
              <w:spacing w:line="600" w:lineRule="exact"/>
              <w:jc w:val="center"/>
              <w:rPr>
                <w:rFonts w:hint="eastAsia" w:ascii="黑体" w:hAnsi="黑体" w:eastAsia="黑体"/>
                <w:color w:val="auto"/>
                <w:kern w:val="0"/>
                <w:sz w:val="32"/>
                <w:szCs w:val="20"/>
                <w:lang w:eastAsia="zh-CN"/>
              </w:rPr>
            </w:pPr>
            <w:r>
              <w:rPr>
                <w:rFonts w:hint="eastAsia" w:ascii="黑体" w:hAnsi="黑体" w:eastAsia="黑体"/>
                <w:color w:val="auto"/>
                <w:kern w:val="0"/>
                <w:sz w:val="32"/>
                <w:szCs w:val="20"/>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930" w:type="dxa"/>
            <w:vAlign w:val="top"/>
          </w:tcPr>
          <w:p>
            <w:pPr>
              <w:pStyle w:val="37"/>
              <w:spacing w:line="600" w:lineRule="exact"/>
              <w:jc w:val="center"/>
              <w:rPr>
                <w:rFonts w:ascii="仿宋_GB2312" w:hAnsi="仿宋_GB2312" w:eastAsia="仿宋_GB2312"/>
                <w:color w:val="auto"/>
                <w:kern w:val="0"/>
                <w:sz w:val="32"/>
                <w:szCs w:val="20"/>
              </w:rPr>
            </w:pPr>
          </w:p>
        </w:tc>
        <w:tc>
          <w:tcPr>
            <w:tcW w:w="1615" w:type="dxa"/>
            <w:vAlign w:val="top"/>
          </w:tcPr>
          <w:p>
            <w:pPr>
              <w:pStyle w:val="37"/>
              <w:spacing w:line="600" w:lineRule="exact"/>
              <w:jc w:val="center"/>
              <w:rPr>
                <w:rFonts w:hint="eastAsia" w:ascii="仿宋_GB2312" w:hAnsi="仿宋_GB2312" w:eastAsia="仿宋_GB2312"/>
                <w:color w:val="auto"/>
                <w:kern w:val="0"/>
                <w:sz w:val="32"/>
                <w:szCs w:val="20"/>
                <w:lang w:eastAsia="zh-CN"/>
              </w:rPr>
            </w:pPr>
            <w:r>
              <w:rPr>
                <w:rFonts w:hint="eastAsia" w:ascii="仿宋_GB2312" w:hAnsi="仿宋_GB2312" w:eastAsia="仿宋_GB2312"/>
                <w:color w:val="auto"/>
                <w:kern w:val="0"/>
                <w:sz w:val="32"/>
                <w:szCs w:val="20"/>
                <w:lang w:eastAsia="zh-CN"/>
              </w:rPr>
              <w:t>分管领导</w:t>
            </w:r>
          </w:p>
        </w:tc>
        <w:tc>
          <w:tcPr>
            <w:tcW w:w="2311" w:type="dxa"/>
            <w:vAlign w:val="top"/>
          </w:tcPr>
          <w:p>
            <w:pPr>
              <w:pStyle w:val="37"/>
              <w:spacing w:line="600" w:lineRule="exact"/>
              <w:jc w:val="center"/>
              <w:rPr>
                <w:rFonts w:ascii="仿宋_GB2312" w:hAnsi="仿宋_GB2312" w:eastAsia="仿宋_GB2312"/>
                <w:color w:val="auto"/>
                <w:kern w:val="0"/>
                <w:sz w:val="32"/>
                <w:szCs w:val="20"/>
              </w:rPr>
            </w:pPr>
          </w:p>
        </w:tc>
        <w:tc>
          <w:tcPr>
            <w:tcW w:w="2835" w:type="dxa"/>
            <w:vAlign w:val="top"/>
          </w:tcPr>
          <w:p>
            <w:pPr>
              <w:pStyle w:val="37"/>
              <w:spacing w:line="600" w:lineRule="exact"/>
              <w:jc w:val="center"/>
              <w:rPr>
                <w:rFonts w:hint="default" w:ascii="仿宋_GB2312" w:hAnsi="仿宋_GB2312" w:eastAsia="仿宋_GB2312"/>
                <w:color w:val="auto"/>
                <w:kern w:val="0"/>
                <w:sz w:val="32"/>
                <w:szCs w:val="20"/>
                <w:lang w:val="en-US" w:eastAsia="zh-CN"/>
              </w:rPr>
            </w:pPr>
            <w:r>
              <w:rPr>
                <w:rFonts w:hint="eastAsia" w:ascii="仿宋_GB2312" w:hAnsi="仿宋_GB2312" w:eastAsia="仿宋_GB2312"/>
                <w:color w:val="auto"/>
                <w:kern w:val="0"/>
                <w:sz w:val="32"/>
                <w:szCs w:val="20"/>
                <w:lang w:val="en-US" w:eastAsia="zh-CN"/>
              </w:rPr>
              <w:t>--</w:t>
            </w:r>
          </w:p>
        </w:tc>
        <w:tc>
          <w:tcPr>
            <w:tcW w:w="3739" w:type="dxa"/>
            <w:vAlign w:val="top"/>
          </w:tcPr>
          <w:p>
            <w:pPr>
              <w:pStyle w:val="37"/>
              <w:keepNext w:val="0"/>
              <w:keepLines w:val="0"/>
              <w:pageBreakBefore w:val="0"/>
              <w:widowControl w:val="0"/>
              <w:kinsoku/>
              <w:wordWrap/>
              <w:overflowPunct/>
              <w:topLinePunct w:val="0"/>
              <w:autoSpaceDE/>
              <w:autoSpaceDN/>
              <w:bidi w:val="0"/>
              <w:adjustRightInd/>
              <w:snapToGrid/>
              <w:spacing w:before="0" w:beforeLines="0" w:after="0" w:afterLines="0" w:line="240" w:lineRule="auto"/>
              <w:ind w:left="0" w:leftChars="0" w:right="0" w:rightChars="0" w:firstLine="0" w:firstLineChars="0"/>
              <w:jc w:val="center"/>
              <w:textAlignment w:val="auto"/>
              <w:outlineLvl w:val="9"/>
              <w:rPr>
                <w:rFonts w:hint="eastAsia" w:ascii="仿宋_GB2312" w:hAnsi="仿宋_GB2312" w:eastAsia="仿宋_GB2312"/>
                <w:color w:val="auto"/>
                <w:kern w:val="0"/>
                <w:sz w:val="32"/>
                <w:szCs w:val="20"/>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1930" w:type="dxa"/>
            <w:vAlign w:val="top"/>
          </w:tcPr>
          <w:p>
            <w:pPr>
              <w:pStyle w:val="37"/>
              <w:spacing w:line="600" w:lineRule="exact"/>
              <w:jc w:val="center"/>
              <w:rPr>
                <w:rFonts w:ascii="仿宋_GB2312" w:hAnsi="仿宋_GB2312" w:eastAsia="仿宋_GB2312"/>
                <w:color w:val="auto"/>
                <w:kern w:val="0"/>
                <w:sz w:val="32"/>
                <w:szCs w:val="20"/>
              </w:rPr>
            </w:pPr>
          </w:p>
        </w:tc>
        <w:tc>
          <w:tcPr>
            <w:tcW w:w="1615" w:type="dxa"/>
            <w:vAlign w:val="top"/>
          </w:tcPr>
          <w:p>
            <w:pPr>
              <w:pStyle w:val="37"/>
              <w:spacing w:line="600" w:lineRule="exact"/>
              <w:jc w:val="center"/>
              <w:rPr>
                <w:rFonts w:hint="eastAsia" w:ascii="仿宋_GB2312" w:hAnsi="仿宋_GB2312" w:eastAsia="仿宋_GB2312"/>
                <w:color w:val="auto"/>
                <w:kern w:val="0"/>
                <w:sz w:val="32"/>
                <w:szCs w:val="20"/>
                <w:lang w:eastAsia="zh-CN"/>
              </w:rPr>
            </w:pPr>
            <w:r>
              <w:rPr>
                <w:rFonts w:hint="eastAsia" w:ascii="仿宋_GB2312" w:hAnsi="仿宋_GB2312" w:eastAsia="仿宋_GB2312"/>
                <w:color w:val="auto"/>
                <w:kern w:val="0"/>
                <w:sz w:val="32"/>
                <w:szCs w:val="20"/>
                <w:lang w:eastAsia="zh-CN"/>
              </w:rPr>
              <w:t>科长</w:t>
            </w:r>
          </w:p>
        </w:tc>
        <w:tc>
          <w:tcPr>
            <w:tcW w:w="2311" w:type="dxa"/>
            <w:vAlign w:val="top"/>
          </w:tcPr>
          <w:p>
            <w:pPr>
              <w:pStyle w:val="37"/>
              <w:spacing w:line="600" w:lineRule="exact"/>
              <w:jc w:val="center"/>
              <w:rPr>
                <w:rFonts w:ascii="仿宋_GB2312" w:hAnsi="仿宋_GB2312" w:eastAsia="仿宋_GB2312"/>
                <w:color w:val="auto"/>
                <w:kern w:val="0"/>
                <w:sz w:val="32"/>
                <w:szCs w:val="20"/>
              </w:rPr>
            </w:pPr>
          </w:p>
        </w:tc>
        <w:tc>
          <w:tcPr>
            <w:tcW w:w="2835" w:type="dxa"/>
            <w:vAlign w:val="top"/>
          </w:tcPr>
          <w:p>
            <w:pPr>
              <w:pStyle w:val="37"/>
              <w:spacing w:line="600" w:lineRule="exact"/>
              <w:jc w:val="center"/>
              <w:rPr>
                <w:rFonts w:ascii="仿宋_GB2312" w:hAnsi="仿宋_GB2312" w:eastAsia="仿宋_GB2312"/>
                <w:color w:val="auto"/>
                <w:kern w:val="0"/>
                <w:sz w:val="32"/>
                <w:szCs w:val="20"/>
              </w:rPr>
            </w:pPr>
            <w:r>
              <w:rPr>
                <w:rFonts w:hint="eastAsia" w:ascii="仿宋_GB2312" w:hAnsi="仿宋_GB2312" w:eastAsia="仿宋_GB2312"/>
                <w:color w:val="auto"/>
                <w:kern w:val="0"/>
                <w:sz w:val="32"/>
                <w:szCs w:val="20"/>
                <w:lang w:val="en-US" w:eastAsia="zh-CN"/>
              </w:rPr>
              <w:t>--</w:t>
            </w:r>
          </w:p>
        </w:tc>
        <w:tc>
          <w:tcPr>
            <w:tcW w:w="3739" w:type="dxa"/>
            <w:vAlign w:val="top"/>
          </w:tcPr>
          <w:p>
            <w:pPr>
              <w:pStyle w:val="37"/>
              <w:spacing w:line="600" w:lineRule="exact"/>
              <w:jc w:val="center"/>
              <w:rPr>
                <w:rFonts w:ascii="仿宋_GB2312" w:hAnsi="仿宋_GB2312" w:eastAsia="仿宋_GB2312"/>
                <w:color w:val="auto"/>
                <w:kern w:val="0"/>
                <w:sz w:val="32"/>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9" w:hRule="atLeast"/>
          <w:jc w:val="center"/>
        </w:trPr>
        <w:tc>
          <w:tcPr>
            <w:tcW w:w="1930" w:type="dxa"/>
            <w:tcBorders>
              <w:bottom w:val="single" w:color="auto" w:sz="6" w:space="0"/>
            </w:tcBorders>
            <w:vAlign w:val="top"/>
          </w:tcPr>
          <w:p>
            <w:pPr>
              <w:pStyle w:val="37"/>
              <w:spacing w:line="600" w:lineRule="exact"/>
              <w:rPr>
                <w:rFonts w:ascii="仿宋_GB2312" w:hAnsi="仿宋_GB2312" w:eastAsia="仿宋_GB2312"/>
                <w:color w:val="auto"/>
                <w:kern w:val="0"/>
                <w:sz w:val="32"/>
                <w:szCs w:val="20"/>
              </w:rPr>
            </w:pPr>
          </w:p>
        </w:tc>
        <w:tc>
          <w:tcPr>
            <w:tcW w:w="1615" w:type="dxa"/>
            <w:tcBorders>
              <w:bottom w:val="single" w:color="auto" w:sz="6" w:space="0"/>
            </w:tcBorders>
            <w:vAlign w:val="top"/>
          </w:tcPr>
          <w:p>
            <w:pPr>
              <w:pStyle w:val="37"/>
              <w:spacing w:line="600" w:lineRule="exact"/>
              <w:ind w:left="0" w:leftChars="0" w:right="0" w:rightChars="0" w:firstLine="0" w:firstLineChars="0"/>
              <w:jc w:val="center"/>
              <w:rPr>
                <w:rFonts w:hint="eastAsia" w:ascii="仿宋_GB2312" w:hAnsi="仿宋_GB2312" w:eastAsia="仿宋_GB2312"/>
                <w:color w:val="auto"/>
                <w:kern w:val="0"/>
                <w:sz w:val="32"/>
                <w:szCs w:val="20"/>
                <w:lang w:val="en-US" w:eastAsia="zh-CN"/>
              </w:rPr>
            </w:pPr>
            <w:r>
              <w:rPr>
                <w:rFonts w:hint="eastAsia" w:ascii="仿宋_GB2312" w:hAnsi="仿宋_GB2312" w:eastAsia="仿宋_GB2312"/>
                <w:color w:val="auto"/>
                <w:kern w:val="0"/>
                <w:sz w:val="32"/>
                <w:szCs w:val="20"/>
                <w:lang w:val="en-US" w:eastAsia="zh-CN"/>
              </w:rPr>
              <w:t>经办人</w:t>
            </w:r>
          </w:p>
        </w:tc>
        <w:tc>
          <w:tcPr>
            <w:tcW w:w="2311" w:type="dxa"/>
            <w:tcBorders>
              <w:bottom w:val="single" w:color="auto" w:sz="6" w:space="0"/>
            </w:tcBorders>
            <w:vAlign w:val="top"/>
          </w:tcPr>
          <w:p>
            <w:pPr>
              <w:pStyle w:val="37"/>
              <w:spacing w:line="600" w:lineRule="exact"/>
              <w:rPr>
                <w:rFonts w:ascii="仿宋_GB2312" w:hAnsi="仿宋_GB2312" w:eastAsia="仿宋_GB2312"/>
                <w:color w:val="auto"/>
                <w:kern w:val="0"/>
                <w:sz w:val="32"/>
                <w:szCs w:val="20"/>
              </w:rPr>
            </w:pPr>
          </w:p>
        </w:tc>
        <w:tc>
          <w:tcPr>
            <w:tcW w:w="2835" w:type="dxa"/>
            <w:tcBorders>
              <w:bottom w:val="single" w:color="auto" w:sz="6" w:space="0"/>
            </w:tcBorders>
            <w:vAlign w:val="top"/>
          </w:tcPr>
          <w:p>
            <w:pPr>
              <w:pStyle w:val="37"/>
              <w:spacing w:line="600" w:lineRule="exact"/>
              <w:rPr>
                <w:rFonts w:ascii="仿宋_GB2312" w:hAnsi="仿宋_GB2312" w:eastAsia="仿宋_GB2312"/>
                <w:color w:val="auto"/>
                <w:kern w:val="0"/>
                <w:sz w:val="32"/>
                <w:szCs w:val="20"/>
              </w:rPr>
            </w:pPr>
          </w:p>
        </w:tc>
        <w:tc>
          <w:tcPr>
            <w:tcW w:w="3739" w:type="dxa"/>
            <w:vAlign w:val="top"/>
          </w:tcPr>
          <w:p>
            <w:pPr>
              <w:pStyle w:val="37"/>
              <w:spacing w:line="600" w:lineRule="exact"/>
              <w:rPr>
                <w:rFonts w:ascii="仿宋_GB2312" w:hAnsi="仿宋_GB2312" w:eastAsia="仿宋_GB2312"/>
                <w:color w:val="auto"/>
                <w:kern w:val="0"/>
                <w:sz w:val="32"/>
                <w:szCs w:val="20"/>
              </w:rPr>
            </w:pPr>
          </w:p>
        </w:tc>
      </w:tr>
    </w:tbl>
    <w:p>
      <w:pPr>
        <w:pStyle w:val="38"/>
        <w:numPr>
          <w:ilvl w:val="0"/>
          <w:numId w:val="0"/>
        </w:numPr>
        <w:rPr>
          <w:rFonts w:hint="eastAsia" w:ascii="仿宋_GB2312" w:eastAsia="仿宋_GB2312"/>
          <w:color w:val="auto"/>
          <w:sz w:val="32"/>
          <w:szCs w:val="32"/>
          <w:lang w:val="en-US" w:eastAsia="zh-CN"/>
        </w:rPr>
      </w:pPr>
      <w:r>
        <w:rPr>
          <w:rFonts w:hint="eastAsia" w:ascii="仿宋_GB2312" w:eastAsia="仿宋_GB2312"/>
          <w:color w:val="auto"/>
          <w:sz w:val="32"/>
          <w:szCs w:val="32"/>
          <w:lang w:val="en-US" w:eastAsia="zh-CN"/>
        </w:rPr>
        <w:t>备注：1.各监管部门填写此表后发送至区局各对应股室；</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r>
        <w:rPr>
          <w:rFonts w:hint="eastAsia" w:ascii="仿宋_GB2312" w:eastAsia="仿宋_GB2312"/>
          <w:color w:val="auto"/>
          <w:sz w:val="32"/>
          <w:szCs w:val="32"/>
          <w:lang w:val="en-US" w:eastAsia="zh-CN"/>
        </w:rPr>
        <w:t xml:space="preserve">      2.请经办人添加微信527908505加入“2022年复工复产培训交流群”，方便工作交流及资料下载。</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sectPr>
          <w:headerReference r:id="rId9" w:type="default"/>
          <w:footerReference r:id="rId10" w:type="default"/>
          <w:pgSz w:w="16838" w:h="11906" w:orient="landscape"/>
          <w:pgMar w:top="1588" w:right="2098" w:bottom="1474" w:left="1985" w:header="851" w:footer="1418" w:gutter="0"/>
          <w:pgNumType w:fmt="numberInDash"/>
          <w:cols w:space="720" w:num="1"/>
          <w:docGrid w:type="linesAndChars" w:linePitch="579" w:charSpace="-1844"/>
        </w:sectPr>
      </w:pPr>
    </w:p>
    <w:p>
      <w:pPr>
        <w:pStyle w:val="39"/>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黑体" w:hAnsi="黑体" w:eastAsia="黑体"/>
          <w:color w:val="auto"/>
          <w:lang w:val="en-US" w:eastAsia="zh-CN"/>
        </w:rPr>
      </w:pPr>
      <w:r>
        <w:rPr>
          <w:rFonts w:hint="eastAsia" w:ascii="黑体" w:hAnsi="黑体" w:eastAsia="黑体"/>
          <w:color w:val="auto"/>
        </w:rPr>
        <w:t>附件</w:t>
      </w:r>
      <w:r>
        <w:rPr>
          <w:rFonts w:hint="eastAsia" w:ascii="黑体" w:hAnsi="黑体" w:eastAsia="黑体"/>
          <w:color w:val="auto"/>
          <w:lang w:val="en-US" w:eastAsia="zh-CN"/>
        </w:rPr>
        <w:t>7</w:t>
      </w:r>
    </w:p>
    <w:p>
      <w:pPr>
        <w:pStyle w:val="39"/>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黑体" w:hAnsi="黑体" w:eastAsia="黑体"/>
          <w:color w:val="auto"/>
          <w:lang w:val="en-US" w:eastAsia="zh-CN"/>
        </w:rPr>
      </w:pPr>
    </w:p>
    <w:p>
      <w:pPr>
        <w:pStyle w:val="40"/>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方正小标宋简体" w:hAnsi="方正小标宋简体" w:eastAsia="方正小标宋简体"/>
          <w:color w:val="auto"/>
          <w:spacing w:val="20"/>
          <w:sz w:val="44"/>
          <w:lang w:eastAsia="zh-CN"/>
        </w:rPr>
      </w:pPr>
      <w:r>
        <w:rPr>
          <w:rFonts w:hint="eastAsia" w:ascii="方正小标宋简体" w:hAnsi="方正小标宋简体" w:eastAsia="方正小标宋简体"/>
          <w:color w:val="auto"/>
          <w:spacing w:val="20"/>
          <w:sz w:val="44"/>
          <w:lang w:val="en-US" w:eastAsia="zh-CN"/>
        </w:rPr>
        <w:t>2022年</w:t>
      </w:r>
      <w:r>
        <w:rPr>
          <w:rFonts w:hint="eastAsia" w:ascii="方正小标宋简体" w:hAnsi="方正小标宋简体" w:eastAsia="方正小标宋简体"/>
          <w:color w:val="auto"/>
          <w:spacing w:val="20"/>
          <w:sz w:val="44"/>
          <w:lang w:eastAsia="zh-CN"/>
        </w:rPr>
        <w:t>节后复工复产</w:t>
      </w:r>
      <w:r>
        <w:rPr>
          <w:rFonts w:hint="eastAsia" w:ascii="方正小标宋简体" w:hAnsi="方正小标宋简体" w:eastAsia="方正小标宋简体"/>
          <w:color w:val="auto"/>
          <w:spacing w:val="20"/>
          <w:sz w:val="44"/>
        </w:rPr>
        <w:t>专题培训班台账模板</w:t>
      </w:r>
      <w:r>
        <w:rPr>
          <w:rFonts w:hint="eastAsia" w:ascii="方正小标宋简体" w:hAnsi="方正小标宋简体" w:eastAsia="方正小标宋简体"/>
          <w:color w:val="auto"/>
          <w:spacing w:val="20"/>
          <w:sz w:val="44"/>
          <w:lang w:eastAsia="zh-CN"/>
        </w:rPr>
        <w:t>（参考）</w:t>
      </w:r>
    </w:p>
    <w:p>
      <w:pPr>
        <w:pStyle w:val="40"/>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ascii="方正姚体" w:hAnsi="宋体" w:eastAsia="方正姚体"/>
          <w:color w:val="auto"/>
          <w:spacing w:val="20"/>
          <w:sz w:val="44"/>
        </w:rPr>
      </w:pPr>
    </w:p>
    <w:p>
      <w:pPr>
        <w:pStyle w:val="40"/>
        <w:keepNext w:val="0"/>
        <w:keepLines w:val="0"/>
        <w:pageBreakBefore w:val="0"/>
        <w:widowControl w:val="0"/>
        <w:kinsoku/>
        <w:wordWrap/>
        <w:overflowPunct/>
        <w:topLinePunct w:val="0"/>
        <w:autoSpaceDE/>
        <w:autoSpaceDN/>
        <w:bidi w:val="0"/>
        <w:adjustRightInd/>
        <w:snapToGrid/>
        <w:spacing w:line="520" w:lineRule="exact"/>
        <w:ind w:firstLine="527" w:firstLineChars="150"/>
        <w:textAlignment w:val="auto"/>
        <w:outlineLvl w:val="9"/>
        <w:rPr>
          <w:rFonts w:hint="eastAsia" w:ascii="仿宋_GB2312" w:hAnsi="仿宋_GB2312" w:eastAsia="仿宋_GB2312"/>
          <w:color w:val="auto"/>
          <w:spacing w:val="20"/>
          <w:sz w:val="32"/>
        </w:rPr>
      </w:pPr>
      <w:r>
        <w:rPr>
          <w:rFonts w:hint="eastAsia" w:ascii="仿宋_GB2312" w:hAnsi="仿宋_GB2312" w:eastAsia="仿宋_GB2312"/>
          <w:color w:val="auto"/>
          <w:spacing w:val="20"/>
          <w:sz w:val="32"/>
        </w:rPr>
        <w:t>培训时间：                培训地点：</w:t>
      </w:r>
    </w:p>
    <w:p>
      <w:pPr>
        <w:pStyle w:val="40"/>
        <w:keepNext w:val="0"/>
        <w:keepLines w:val="0"/>
        <w:pageBreakBefore w:val="0"/>
        <w:widowControl w:val="0"/>
        <w:kinsoku/>
        <w:wordWrap/>
        <w:overflowPunct/>
        <w:topLinePunct w:val="0"/>
        <w:autoSpaceDE/>
        <w:autoSpaceDN/>
        <w:bidi w:val="0"/>
        <w:adjustRightInd/>
        <w:snapToGrid/>
        <w:spacing w:line="520" w:lineRule="exact"/>
        <w:ind w:firstLine="527" w:firstLineChars="150"/>
        <w:textAlignment w:val="auto"/>
        <w:outlineLvl w:val="9"/>
        <w:rPr>
          <w:rFonts w:hint="eastAsia" w:ascii="仿宋_GB2312" w:hAnsi="仿宋_GB2312" w:eastAsia="仿宋_GB2312"/>
          <w:b/>
          <w:color w:val="auto"/>
          <w:sz w:val="32"/>
        </w:rPr>
      </w:pPr>
      <w:r>
        <w:rPr>
          <w:rFonts w:hint="eastAsia" w:ascii="仿宋_GB2312" w:hAnsi="仿宋_GB2312" w:eastAsia="仿宋_GB2312"/>
          <w:color w:val="auto"/>
          <w:spacing w:val="20"/>
          <w:sz w:val="32"/>
        </w:rPr>
        <w:t>培训人数：</w:t>
      </w:r>
    </w:p>
    <w:p>
      <w:pPr>
        <w:pStyle w:val="40"/>
        <w:keepNext w:val="0"/>
        <w:keepLines w:val="0"/>
        <w:pageBreakBefore w:val="0"/>
        <w:widowControl w:val="0"/>
        <w:kinsoku/>
        <w:wordWrap/>
        <w:overflowPunct/>
        <w:topLinePunct w:val="0"/>
        <w:autoSpaceDE/>
        <w:autoSpaceDN/>
        <w:bidi w:val="0"/>
        <w:adjustRightInd/>
        <w:snapToGrid/>
        <w:spacing w:line="520" w:lineRule="exact"/>
        <w:ind w:firstLine="457" w:firstLineChars="147"/>
        <w:textAlignment w:val="auto"/>
        <w:outlineLvl w:val="9"/>
        <w:rPr>
          <w:rFonts w:hint="eastAsia" w:ascii="仿宋_GB2312" w:hAnsi="仿宋_GB2312" w:eastAsia="仿宋_GB2312"/>
          <w:b w:val="0"/>
          <w:bCs/>
          <w:color w:val="auto"/>
          <w:sz w:val="32"/>
        </w:rPr>
      </w:pPr>
      <w:r>
        <w:rPr>
          <w:rFonts w:hint="eastAsia" w:ascii="仿宋_GB2312" w:hAnsi="仿宋_GB2312" w:eastAsia="仿宋_GB2312"/>
          <w:b w:val="0"/>
          <w:bCs/>
          <w:color w:val="auto"/>
          <w:sz w:val="32"/>
        </w:rPr>
        <w:t>培训主要内容：1.</w:t>
      </w:r>
    </w:p>
    <w:p>
      <w:pPr>
        <w:pStyle w:val="40"/>
        <w:keepNext w:val="0"/>
        <w:keepLines w:val="0"/>
        <w:pageBreakBefore w:val="0"/>
        <w:widowControl w:val="0"/>
        <w:kinsoku/>
        <w:wordWrap/>
        <w:overflowPunct/>
        <w:topLinePunct w:val="0"/>
        <w:autoSpaceDE/>
        <w:autoSpaceDN/>
        <w:bidi w:val="0"/>
        <w:adjustRightInd/>
        <w:snapToGrid/>
        <w:spacing w:line="520" w:lineRule="exact"/>
        <w:ind w:firstLine="457" w:firstLineChars="147"/>
        <w:textAlignment w:val="auto"/>
        <w:outlineLvl w:val="9"/>
        <w:rPr>
          <w:rFonts w:hint="eastAsia" w:ascii="仿宋_GB2312" w:hAnsi="仿宋_GB2312" w:eastAsia="仿宋_GB2312"/>
          <w:b w:val="0"/>
          <w:bCs/>
          <w:color w:val="auto"/>
          <w:sz w:val="32"/>
        </w:rPr>
      </w:pPr>
      <w:r>
        <w:rPr>
          <w:rFonts w:hint="eastAsia" w:ascii="仿宋_GB2312" w:hAnsi="仿宋_GB2312" w:eastAsia="仿宋_GB2312"/>
          <w:b w:val="0"/>
          <w:bCs/>
          <w:color w:val="auto"/>
          <w:sz w:val="32"/>
        </w:rPr>
        <w:t xml:space="preserve">              2.</w:t>
      </w:r>
    </w:p>
    <w:p>
      <w:pPr>
        <w:pStyle w:val="40"/>
        <w:keepNext w:val="0"/>
        <w:keepLines w:val="0"/>
        <w:pageBreakBefore w:val="0"/>
        <w:widowControl w:val="0"/>
        <w:kinsoku/>
        <w:wordWrap/>
        <w:overflowPunct/>
        <w:topLinePunct w:val="0"/>
        <w:autoSpaceDE/>
        <w:autoSpaceDN/>
        <w:bidi w:val="0"/>
        <w:adjustRightInd/>
        <w:snapToGrid/>
        <w:spacing w:line="520" w:lineRule="exact"/>
        <w:ind w:firstLine="457" w:firstLineChars="147"/>
        <w:textAlignment w:val="auto"/>
        <w:outlineLvl w:val="9"/>
        <w:rPr>
          <w:rFonts w:hint="eastAsia" w:ascii="仿宋_GB2312" w:hAnsi="仿宋_GB2312" w:eastAsia="仿宋_GB2312"/>
          <w:b w:val="0"/>
          <w:bCs/>
          <w:color w:val="auto"/>
          <w:sz w:val="32"/>
        </w:rPr>
      </w:pPr>
      <w:r>
        <w:rPr>
          <w:rFonts w:hint="eastAsia" w:ascii="仿宋_GB2312" w:hAnsi="仿宋_GB2312" w:eastAsia="仿宋_GB2312"/>
          <w:b w:val="0"/>
          <w:bCs/>
          <w:color w:val="auto"/>
          <w:sz w:val="32"/>
        </w:rPr>
        <w:t xml:space="preserve">              3.</w:t>
      </w:r>
    </w:p>
    <w:p>
      <w:pPr>
        <w:pStyle w:val="40"/>
        <w:keepNext w:val="0"/>
        <w:keepLines w:val="0"/>
        <w:pageBreakBefore w:val="0"/>
        <w:widowControl w:val="0"/>
        <w:kinsoku/>
        <w:wordWrap/>
        <w:overflowPunct/>
        <w:topLinePunct w:val="0"/>
        <w:autoSpaceDE/>
        <w:autoSpaceDN/>
        <w:bidi w:val="0"/>
        <w:adjustRightInd/>
        <w:snapToGrid/>
        <w:spacing w:line="520" w:lineRule="exact"/>
        <w:ind w:firstLine="457" w:firstLineChars="147"/>
        <w:textAlignment w:val="auto"/>
        <w:outlineLvl w:val="9"/>
        <w:rPr>
          <w:rFonts w:hint="eastAsia" w:ascii="仿宋_GB2312" w:hAnsi="仿宋_GB2312" w:eastAsia="仿宋_GB2312"/>
          <w:b w:val="0"/>
          <w:bCs/>
          <w:color w:val="auto"/>
          <w:sz w:val="32"/>
          <w:lang w:val="en-US" w:eastAsia="zh-CN"/>
        </w:rPr>
      </w:pPr>
      <w:r>
        <w:rPr>
          <w:rFonts w:hint="eastAsia" w:ascii="仿宋_GB2312" w:hAnsi="仿宋_GB2312" w:eastAsia="仿宋_GB2312"/>
          <w:b w:val="0"/>
          <w:bCs/>
          <w:color w:val="auto"/>
          <w:sz w:val="32"/>
        </w:rPr>
        <w:t xml:space="preserve">              4</w:t>
      </w:r>
      <w:r>
        <w:rPr>
          <w:rFonts w:hint="eastAsia" w:ascii="仿宋_GB2312" w:hAnsi="仿宋_GB2312" w:eastAsia="仿宋_GB2312"/>
          <w:b w:val="0"/>
          <w:bCs/>
          <w:color w:val="auto"/>
          <w:sz w:val="32"/>
          <w:lang w:val="en-US" w:eastAsia="zh-CN"/>
        </w:rPr>
        <w:t>.</w:t>
      </w:r>
    </w:p>
    <w:p>
      <w:pPr>
        <w:pStyle w:val="40"/>
        <w:keepNext w:val="0"/>
        <w:keepLines w:val="0"/>
        <w:pageBreakBefore w:val="0"/>
        <w:widowControl w:val="0"/>
        <w:kinsoku/>
        <w:wordWrap/>
        <w:overflowPunct/>
        <w:topLinePunct w:val="0"/>
        <w:autoSpaceDE/>
        <w:autoSpaceDN/>
        <w:bidi w:val="0"/>
        <w:adjustRightInd/>
        <w:snapToGrid/>
        <w:spacing w:line="520" w:lineRule="exact"/>
        <w:ind w:firstLine="457" w:firstLineChars="147"/>
        <w:textAlignment w:val="auto"/>
        <w:outlineLvl w:val="9"/>
        <w:rPr>
          <w:rFonts w:hint="eastAsia" w:ascii="仿宋_GB2312" w:hAnsi="仿宋_GB2312" w:eastAsia="仿宋_GB2312"/>
          <w:b/>
          <w:color w:val="auto"/>
          <w:sz w:val="32"/>
        </w:rPr>
      </w:pPr>
    </w:p>
    <w:p>
      <w:pPr>
        <w:pStyle w:val="40"/>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olor w:val="auto"/>
          <w:spacing w:val="0"/>
          <w:sz w:val="32"/>
        </w:rPr>
      </w:pPr>
      <w:r>
        <w:rPr>
          <w:rFonts w:hint="eastAsia" w:ascii="仿宋_GB2312" w:hAnsi="仿宋_GB2312" w:eastAsia="仿宋_GB2312"/>
          <w:color w:val="auto"/>
          <w:spacing w:val="0"/>
          <w:sz w:val="32"/>
          <w:lang w:val="en-US" w:eastAsia="zh-CN"/>
        </w:rPr>
        <w:t xml:space="preserve">    </w:t>
      </w:r>
      <w:r>
        <w:rPr>
          <w:rFonts w:hint="eastAsia" w:ascii="仿宋_GB2312" w:hAnsi="仿宋_GB2312" w:eastAsia="仿宋_GB2312"/>
          <w:color w:val="auto"/>
          <w:spacing w:val="0"/>
          <w:sz w:val="32"/>
        </w:rPr>
        <w:t>培训照片：（观看警示片图片、开展隐患排查时间和场景、开班时间、开班场景，至少</w:t>
      </w:r>
      <w:r>
        <w:rPr>
          <w:rFonts w:hint="eastAsia" w:ascii="仿宋_GB2312" w:hAnsi="仿宋_GB2312" w:eastAsia="仿宋_GB2312"/>
          <w:color w:val="auto"/>
          <w:spacing w:val="0"/>
          <w:sz w:val="32"/>
          <w:lang w:val="en-US" w:eastAsia="zh-CN"/>
        </w:rPr>
        <w:t>3</w:t>
      </w:r>
      <w:r>
        <w:rPr>
          <w:rFonts w:hint="eastAsia" w:ascii="仿宋_GB2312" w:hAnsi="仿宋_GB2312" w:eastAsia="仿宋_GB2312"/>
          <w:color w:val="auto"/>
          <w:spacing w:val="0"/>
          <w:sz w:val="32"/>
        </w:rPr>
        <w:t>张），并附有培训人员签到表一份，企业名称、姓名、电话。将</w:t>
      </w:r>
      <w:r>
        <w:rPr>
          <w:rFonts w:hint="eastAsia" w:ascii="仿宋_GB2312" w:hAnsi="仿宋_GB2312" w:eastAsia="仿宋_GB2312"/>
          <w:color w:val="auto"/>
          <w:spacing w:val="0"/>
          <w:sz w:val="32"/>
          <w:lang w:eastAsia="zh-CN"/>
        </w:rPr>
        <w:t>节后复工复产培训</w:t>
      </w:r>
      <w:r>
        <w:rPr>
          <w:rFonts w:hint="eastAsia" w:ascii="仿宋_GB2312" w:hAnsi="仿宋_GB2312" w:eastAsia="仿宋_GB2312"/>
          <w:color w:val="auto"/>
          <w:spacing w:val="0"/>
          <w:sz w:val="32"/>
        </w:rPr>
        <w:t>宣传片交给企业，并让企业开展全员培训。</w:t>
      </w:r>
    </w:p>
    <w:p>
      <w:pPr>
        <w:pStyle w:val="40"/>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olor w:val="auto"/>
          <w:spacing w:val="20"/>
          <w:sz w:val="32"/>
        </w:rPr>
      </w:pPr>
    </w:p>
    <w:p>
      <w:pPr>
        <w:pStyle w:val="40"/>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olor w:val="auto"/>
          <w:spacing w:val="20"/>
          <w:sz w:val="32"/>
        </w:rPr>
      </w:pPr>
    </w:p>
    <w:p>
      <w:pPr>
        <w:pStyle w:val="40"/>
        <w:keepNext w:val="0"/>
        <w:keepLines w:val="0"/>
        <w:pageBreakBefore w:val="0"/>
        <w:widowControl w:val="0"/>
        <w:kinsoku/>
        <w:wordWrap/>
        <w:overflowPunct/>
        <w:topLinePunct w:val="0"/>
        <w:autoSpaceDE/>
        <w:autoSpaceDN/>
        <w:bidi w:val="0"/>
        <w:adjustRightInd/>
        <w:snapToGrid/>
        <w:spacing w:line="520" w:lineRule="exact"/>
        <w:ind w:firstLine="527" w:firstLineChars="150"/>
        <w:textAlignment w:val="auto"/>
        <w:outlineLvl w:val="9"/>
        <w:rPr>
          <w:rFonts w:hint="eastAsia" w:ascii="仿宋_GB2312" w:hAnsi="仿宋_GB2312" w:eastAsia="仿宋_GB2312"/>
          <w:color w:val="auto"/>
          <w:spacing w:val="20"/>
          <w:sz w:val="32"/>
        </w:rPr>
      </w:pPr>
      <w:r>
        <w:rPr>
          <w:rFonts w:hint="eastAsia" w:ascii="仿宋_GB2312" w:hAnsi="仿宋_GB2312" w:eastAsia="仿宋_GB2312"/>
          <w:color w:val="auto"/>
          <w:spacing w:val="20"/>
          <w:sz w:val="32"/>
          <w:lang w:val="en-US" w:eastAsia="zh-CN"/>
        </w:rPr>
        <w:t xml:space="preserve">                         </w:t>
      </w:r>
      <w:r>
        <w:rPr>
          <w:rFonts w:hint="eastAsia" w:ascii="仿宋_GB2312" w:hAnsi="仿宋_GB2312" w:eastAsia="仿宋_GB2312"/>
          <w:color w:val="auto"/>
          <w:spacing w:val="20"/>
          <w:sz w:val="32"/>
        </w:rPr>
        <w:t>签名确认：</w:t>
      </w:r>
    </w:p>
    <w:p>
      <w:pPr>
        <w:pStyle w:val="40"/>
        <w:keepNext w:val="0"/>
        <w:keepLines w:val="0"/>
        <w:pageBreakBefore w:val="0"/>
        <w:widowControl w:val="0"/>
        <w:kinsoku/>
        <w:wordWrap/>
        <w:overflowPunct/>
        <w:topLinePunct w:val="0"/>
        <w:autoSpaceDE/>
        <w:autoSpaceDN/>
        <w:bidi w:val="0"/>
        <w:adjustRightInd/>
        <w:snapToGrid/>
        <w:spacing w:line="520" w:lineRule="exact"/>
        <w:ind w:firstLine="527" w:firstLineChars="150"/>
        <w:textAlignment w:val="auto"/>
        <w:outlineLvl w:val="9"/>
        <w:rPr>
          <w:rFonts w:hint="eastAsia" w:ascii="仿宋_GB2312" w:hAnsi="仿宋_GB2312" w:eastAsia="仿宋_GB2312"/>
          <w:color w:val="auto"/>
          <w:spacing w:val="20"/>
          <w:sz w:val="32"/>
        </w:rPr>
      </w:pPr>
      <w:r>
        <w:rPr>
          <w:rFonts w:hint="eastAsia" w:ascii="仿宋_GB2312" w:hAnsi="仿宋_GB2312" w:eastAsia="仿宋_GB2312"/>
          <w:color w:val="auto"/>
          <w:spacing w:val="20"/>
          <w:sz w:val="32"/>
        </w:rPr>
        <w:t xml:space="preserve">          </w:t>
      </w:r>
      <w:r>
        <w:rPr>
          <w:rFonts w:hint="eastAsia" w:ascii="仿宋_GB2312" w:hAnsi="仿宋_GB2312" w:eastAsia="仿宋_GB2312"/>
          <w:color w:val="auto"/>
          <w:spacing w:val="20"/>
          <w:sz w:val="32"/>
          <w:lang w:val="en-US" w:eastAsia="zh-CN"/>
        </w:rPr>
        <w:t xml:space="preserve">          各区、</w:t>
      </w:r>
      <w:r>
        <w:rPr>
          <w:rFonts w:hint="eastAsia" w:ascii="仿宋_GB2312" w:hAnsi="仿宋_GB2312" w:eastAsia="仿宋_GB2312"/>
          <w:color w:val="auto"/>
          <w:spacing w:val="20"/>
          <w:sz w:val="32"/>
        </w:rPr>
        <w:t>镇</w:t>
      </w:r>
      <w:r>
        <w:rPr>
          <w:rFonts w:hint="eastAsia" w:ascii="仿宋_GB2312" w:hAnsi="仿宋_GB2312" w:eastAsia="仿宋_GB2312"/>
          <w:color w:val="auto"/>
          <w:spacing w:val="20"/>
          <w:sz w:val="32"/>
          <w:lang w:eastAsia="zh-CN"/>
        </w:rPr>
        <w:t>（</w:t>
      </w:r>
      <w:r>
        <w:rPr>
          <w:rFonts w:hint="eastAsia" w:ascii="仿宋_GB2312" w:hAnsi="仿宋_GB2312" w:eastAsia="仿宋_GB2312"/>
          <w:color w:val="auto"/>
          <w:spacing w:val="20"/>
          <w:sz w:val="32"/>
        </w:rPr>
        <w:t>街</w:t>
      </w:r>
      <w:r>
        <w:rPr>
          <w:rFonts w:hint="eastAsia" w:ascii="仿宋_GB2312" w:hAnsi="仿宋_GB2312" w:eastAsia="仿宋_GB2312"/>
          <w:color w:val="auto"/>
          <w:spacing w:val="20"/>
          <w:sz w:val="32"/>
          <w:lang w:eastAsia="zh-CN"/>
        </w:rPr>
        <w:t>）</w:t>
      </w:r>
      <w:r>
        <w:rPr>
          <w:rFonts w:hint="eastAsia" w:ascii="仿宋_GB2312" w:hAnsi="仿宋_GB2312" w:eastAsia="仿宋_GB2312"/>
          <w:color w:val="auto"/>
          <w:spacing w:val="20"/>
          <w:sz w:val="32"/>
        </w:rPr>
        <w:t>（公章）</w:t>
      </w:r>
    </w:p>
    <w:p>
      <w:pPr>
        <w:pStyle w:val="40"/>
        <w:keepNext w:val="0"/>
        <w:keepLines w:val="0"/>
        <w:pageBreakBefore w:val="0"/>
        <w:widowControl w:val="0"/>
        <w:kinsoku/>
        <w:wordWrap/>
        <w:overflowPunct/>
        <w:topLinePunct w:val="0"/>
        <w:autoSpaceDE/>
        <w:autoSpaceDN/>
        <w:bidi w:val="0"/>
        <w:adjustRightInd/>
        <w:snapToGrid/>
        <w:spacing w:line="520" w:lineRule="exact"/>
        <w:ind w:firstLine="527" w:firstLineChars="150"/>
        <w:textAlignment w:val="auto"/>
        <w:outlineLvl w:val="9"/>
        <w:rPr>
          <w:rFonts w:hint="eastAsia" w:ascii="仿宋_GB2312" w:hAnsi="仿宋_GB2312" w:eastAsia="仿宋_GB2312"/>
          <w:color w:val="auto"/>
          <w:spacing w:val="20"/>
          <w:sz w:val="32"/>
        </w:rPr>
      </w:pPr>
      <w:r>
        <w:rPr>
          <w:rFonts w:hint="eastAsia" w:ascii="仿宋_GB2312" w:hAnsi="仿宋_GB2312" w:eastAsia="仿宋_GB2312"/>
          <w:color w:val="auto"/>
          <w:spacing w:val="20"/>
          <w:sz w:val="32"/>
          <w:lang w:val="en-US" w:eastAsia="zh-CN"/>
        </w:rPr>
        <w:t xml:space="preserve">                       </w:t>
      </w:r>
      <w:r>
        <w:rPr>
          <w:rFonts w:hint="eastAsia" w:ascii="仿宋_GB2312" w:hAnsi="仿宋_GB2312" w:eastAsia="仿宋_GB2312"/>
          <w:color w:val="auto"/>
          <w:spacing w:val="20"/>
          <w:sz w:val="32"/>
        </w:rPr>
        <w:t>中介机构（公章）</w:t>
      </w:r>
    </w:p>
    <w:p>
      <w:pPr>
        <w:pStyle w:val="40"/>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olor w:val="auto"/>
          <w:spacing w:val="0"/>
          <w:sz w:val="28"/>
          <w:szCs w:val="28"/>
        </w:rPr>
      </w:pPr>
      <w:r>
        <w:rPr>
          <w:rFonts w:hint="eastAsia" w:ascii="仿宋_GB2312" w:hAnsi="仿宋_GB2312" w:eastAsia="仿宋_GB2312"/>
          <w:color w:val="auto"/>
          <w:spacing w:val="0"/>
          <w:sz w:val="28"/>
          <w:szCs w:val="28"/>
        </w:rPr>
        <w:t>备注</w:t>
      </w:r>
      <w:r>
        <w:rPr>
          <w:rFonts w:hint="eastAsia" w:ascii="仿宋_GB2312" w:hAnsi="仿宋_GB2312" w:eastAsia="仿宋_GB2312"/>
          <w:color w:val="auto"/>
          <w:spacing w:val="0"/>
          <w:sz w:val="28"/>
          <w:szCs w:val="28"/>
          <w:lang w:val="en-US" w:eastAsia="zh-CN"/>
        </w:rPr>
        <w:t>:</w:t>
      </w:r>
      <w:r>
        <w:rPr>
          <w:rFonts w:hint="eastAsia" w:ascii="仿宋_GB2312" w:hAnsi="仿宋_GB2312" w:eastAsia="仿宋_GB2312"/>
          <w:color w:val="auto"/>
          <w:spacing w:val="0"/>
          <w:sz w:val="28"/>
          <w:szCs w:val="28"/>
        </w:rPr>
        <w:t>1.此表由镇街安全监管局及中介机构盖章；</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r>
        <w:rPr>
          <w:rFonts w:hint="eastAsia" w:ascii="仿宋_GB2312" w:hAnsi="仿宋_GB2312" w:eastAsia="仿宋_GB2312"/>
          <w:color w:val="auto"/>
          <w:spacing w:val="0"/>
          <w:sz w:val="28"/>
          <w:szCs w:val="28"/>
          <w:lang w:val="en-US" w:eastAsia="zh-CN"/>
        </w:rPr>
        <w:t xml:space="preserve"> 2.</w:t>
      </w:r>
      <w:r>
        <w:rPr>
          <w:rFonts w:hint="eastAsia" w:ascii="仿宋_GB2312" w:hAnsi="仿宋_GB2312" w:eastAsia="仿宋_GB2312"/>
          <w:color w:val="auto"/>
          <w:spacing w:val="0"/>
          <w:sz w:val="28"/>
          <w:szCs w:val="28"/>
        </w:rPr>
        <w:t>安委会成员单位可参考督促企业建立培训台账以备检查。</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pP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both"/>
        <w:textAlignment w:val="auto"/>
        <w:outlineLvl w:val="9"/>
        <w:rPr>
          <w:rFonts w:hint="eastAsia" w:ascii="黑体" w:eastAsia="黑体"/>
          <w:sz w:val="18"/>
          <w:szCs w:val="18"/>
        </w:rPr>
        <w:sectPr>
          <w:footerReference r:id="rId11" w:type="even"/>
          <w:pgSz w:w="11906" w:h="16838"/>
          <w:pgMar w:top="2098" w:right="1474" w:bottom="1985" w:left="1588" w:header="851" w:footer="1418" w:gutter="0"/>
          <w:pgNumType w:fmt="numberInDash"/>
          <w:cols w:space="720" w:num="1"/>
          <w:docGrid w:type="linesAndChars" w:linePitch="579" w:charSpace="-1844"/>
        </w:sectPr>
      </w:pPr>
    </w:p>
    <w:p>
      <w:pPr>
        <w:pStyle w:val="22"/>
        <w:rPr>
          <w:rFonts w:hint="eastAsia" w:ascii="黑体" w:hAnsi="黑体" w:eastAsia="黑体"/>
          <w:color w:val="auto"/>
          <w:lang w:val="en-US" w:eastAsia="zh-CN"/>
        </w:rPr>
      </w:pPr>
      <w:r>
        <w:rPr>
          <w:rFonts w:hint="eastAsia" w:ascii="黑体" w:hAnsi="黑体" w:eastAsia="黑体"/>
          <w:color w:val="auto"/>
        </w:rPr>
        <w:t>附件</w:t>
      </w:r>
      <w:r>
        <w:rPr>
          <w:rFonts w:hint="eastAsia" w:ascii="黑体" w:hAnsi="黑体" w:eastAsia="黑体"/>
          <w:color w:val="auto"/>
          <w:lang w:val="en-US" w:eastAsia="zh-CN"/>
        </w:rPr>
        <w:t>8</w:t>
      </w:r>
    </w:p>
    <w:p>
      <w:pPr>
        <w:pStyle w:val="22"/>
        <w:jc w:val="center"/>
        <w:rPr>
          <w:rFonts w:hint="eastAsia" w:ascii="方正小标宋简体" w:hAnsi="方正小标宋简体" w:eastAsia="方正小标宋简体"/>
          <w:bCs/>
          <w:color w:val="auto"/>
          <w:sz w:val="44"/>
          <w:szCs w:val="32"/>
        </w:rPr>
      </w:pPr>
      <w:r>
        <w:rPr>
          <w:rFonts w:hint="eastAsia" w:ascii="方正小标宋简体" w:hAnsi="方正小标宋简体" w:eastAsia="方正小标宋简体"/>
          <w:bCs/>
          <w:color w:val="auto"/>
          <w:sz w:val="44"/>
          <w:szCs w:val="32"/>
          <w:lang w:val="en-US" w:eastAsia="zh-CN"/>
        </w:rPr>
        <w:t>2022年</w:t>
      </w:r>
      <w:r>
        <w:rPr>
          <w:rFonts w:hint="eastAsia" w:ascii="方正小标宋简体" w:hAnsi="方正小标宋简体" w:eastAsia="方正小标宋简体"/>
          <w:bCs/>
          <w:color w:val="auto"/>
          <w:sz w:val="44"/>
          <w:szCs w:val="32"/>
        </w:rPr>
        <w:t>全</w:t>
      </w:r>
      <w:r>
        <w:rPr>
          <w:rFonts w:hint="eastAsia" w:ascii="方正小标宋简体" w:hAnsi="方正小标宋简体" w:eastAsia="方正小标宋简体"/>
          <w:bCs/>
          <w:color w:val="auto"/>
          <w:sz w:val="44"/>
          <w:szCs w:val="32"/>
          <w:lang w:eastAsia="zh-CN"/>
        </w:rPr>
        <w:t>区节后复工复产</w:t>
      </w:r>
      <w:r>
        <w:rPr>
          <w:rFonts w:hint="eastAsia" w:ascii="方正小标宋简体" w:hAnsi="方正小标宋简体" w:eastAsia="方正小标宋简体"/>
          <w:bCs/>
          <w:color w:val="auto"/>
          <w:sz w:val="44"/>
          <w:szCs w:val="32"/>
        </w:rPr>
        <w:t>培训情况统计</w:t>
      </w:r>
      <w:r>
        <w:rPr>
          <w:rFonts w:hint="eastAsia" w:ascii="方正小标宋简体" w:hAnsi="方正小标宋简体" w:eastAsia="方正小标宋简体"/>
          <w:bCs/>
          <w:color w:val="auto"/>
          <w:sz w:val="44"/>
          <w:szCs w:val="32"/>
          <w:lang w:eastAsia="zh-CN"/>
        </w:rPr>
        <w:t>汇总</w:t>
      </w:r>
      <w:r>
        <w:rPr>
          <w:rFonts w:hint="eastAsia" w:ascii="方正小标宋简体" w:hAnsi="方正小标宋简体" w:eastAsia="方正小标宋简体"/>
          <w:bCs/>
          <w:color w:val="auto"/>
          <w:sz w:val="44"/>
          <w:szCs w:val="32"/>
        </w:rPr>
        <w:t>表</w:t>
      </w:r>
    </w:p>
    <w:p>
      <w:pPr>
        <w:pStyle w:val="22"/>
        <w:jc w:val="both"/>
        <w:rPr>
          <w:rFonts w:ascii="仿宋_GB2312"/>
          <w:color w:val="auto"/>
        </w:rPr>
      </w:pPr>
      <w:r>
        <w:rPr>
          <w:rFonts w:hint="eastAsia" w:ascii="仿宋_GB2312" w:hAnsi="仿宋_GB2312"/>
          <w:color w:val="auto"/>
        </w:rPr>
        <w:t>填报单位</w:t>
      </w:r>
      <w:r>
        <w:rPr>
          <w:rFonts w:hint="eastAsia" w:ascii="仿宋_GB2312" w:hAnsi="仿宋_GB2312"/>
          <w:color w:val="auto"/>
          <w:lang w:eastAsia="zh-CN"/>
        </w:rPr>
        <w:t>（盖章）</w:t>
      </w:r>
      <w:r>
        <w:rPr>
          <w:rFonts w:hint="eastAsia" w:ascii="仿宋_GB2312" w:hAnsi="仿宋_GB2312"/>
          <w:color w:val="auto"/>
        </w:rPr>
        <w:t>：</w:t>
      </w:r>
      <w:r>
        <w:rPr>
          <w:rFonts w:ascii="仿宋_GB2312" w:hAnsi="仿宋_GB2312"/>
          <w:color w:val="auto"/>
        </w:rPr>
        <w:t xml:space="preserve">              </w:t>
      </w:r>
      <w:r>
        <w:rPr>
          <w:rFonts w:hint="eastAsia" w:ascii="仿宋_GB2312" w:hAnsi="仿宋_GB2312"/>
          <w:color w:val="auto"/>
        </w:rPr>
        <w:t>填表人：</w:t>
      </w:r>
      <w:r>
        <w:rPr>
          <w:rFonts w:ascii="仿宋_GB2312" w:hAnsi="仿宋_GB2312"/>
          <w:color w:val="auto"/>
        </w:rPr>
        <w:t xml:space="preserve">           </w:t>
      </w:r>
      <w:r>
        <w:rPr>
          <w:rFonts w:hint="eastAsia" w:ascii="仿宋_GB2312" w:hAnsi="仿宋_GB2312"/>
          <w:color w:val="auto"/>
          <w:lang w:val="en-US" w:eastAsia="zh-CN"/>
        </w:rPr>
        <w:t xml:space="preserve">     手机</w:t>
      </w:r>
      <w:r>
        <w:rPr>
          <w:rFonts w:hint="eastAsia" w:ascii="仿宋_GB2312" w:hAnsi="仿宋_GB2312"/>
          <w:color w:val="auto"/>
        </w:rPr>
        <w:t>：</w:t>
      </w:r>
      <w:r>
        <w:rPr>
          <w:rFonts w:ascii="仿宋_GB2312" w:hAnsi="仿宋_GB2312"/>
          <w:color w:val="auto"/>
        </w:rPr>
        <w:t xml:space="preserve">   </w:t>
      </w:r>
    </w:p>
    <w:tbl>
      <w:tblPr>
        <w:tblStyle w:val="7"/>
        <w:tblW w:w="1358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1"/>
        <w:gridCol w:w="1475"/>
        <w:gridCol w:w="1667"/>
        <w:gridCol w:w="1299"/>
        <w:gridCol w:w="1326"/>
        <w:gridCol w:w="1272"/>
        <w:gridCol w:w="1467"/>
        <w:gridCol w:w="1689"/>
        <w:gridCol w:w="13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0" w:hRule="atLeast"/>
          <w:jc w:val="center"/>
        </w:trPr>
        <w:tc>
          <w:tcPr>
            <w:tcW w:w="2071" w:type="dxa"/>
            <w:tcBorders>
              <w:tl2br w:val="single" w:color="auto" w:sz="4" w:space="0"/>
            </w:tcBorders>
            <w:vAlign w:val="top"/>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textAlignment w:val="auto"/>
              <w:rPr>
                <w:rFonts w:ascii="黑体" w:hAnsi="黑体" w:eastAsia="黑体"/>
                <w:color w:val="auto"/>
              </w:rPr>
            </w:pPr>
            <w:r>
              <w:rPr>
                <w:rFonts w:ascii="黑体" w:hAnsi="黑体" w:eastAsia="黑体"/>
                <w:color w:val="auto"/>
              </w:rPr>
              <w:t xml:space="preserve">  </w:t>
            </w:r>
          </w:p>
        </w:tc>
        <w:tc>
          <w:tcPr>
            <w:tcW w:w="1475"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olor w:val="auto"/>
                <w:sz w:val="28"/>
                <w:szCs w:val="28"/>
                <w:lang w:eastAsia="zh-CN"/>
              </w:rPr>
            </w:pPr>
            <w:r>
              <w:rPr>
                <w:rFonts w:hint="eastAsia" w:ascii="黑体" w:hAnsi="黑体" w:eastAsia="黑体"/>
                <w:color w:val="auto"/>
                <w:sz w:val="28"/>
                <w:szCs w:val="28"/>
                <w:lang w:eastAsia="zh-CN"/>
              </w:rPr>
              <w:t>企业培训</w:t>
            </w:r>
          </w:p>
        </w:tc>
        <w:tc>
          <w:tcPr>
            <w:tcW w:w="16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olor w:val="auto"/>
                <w:sz w:val="28"/>
                <w:szCs w:val="28"/>
                <w:lang w:val="en-US" w:eastAsia="zh-CN"/>
              </w:rPr>
            </w:pPr>
            <w:r>
              <w:rPr>
                <w:rFonts w:hint="eastAsia" w:ascii="黑体" w:hAnsi="黑体" w:eastAsia="黑体"/>
                <w:color w:val="auto"/>
                <w:sz w:val="28"/>
                <w:szCs w:val="28"/>
              </w:rPr>
              <w:t>培训企业</w:t>
            </w:r>
            <w:r>
              <w:rPr>
                <w:rFonts w:hint="eastAsia" w:ascii="黑体" w:hAnsi="黑体" w:eastAsia="黑体"/>
                <w:color w:val="auto"/>
                <w:sz w:val="28"/>
                <w:szCs w:val="28"/>
                <w:lang w:eastAsia="zh-CN"/>
              </w:rPr>
              <w:t>负责人、安全管理人员</w:t>
            </w:r>
          </w:p>
        </w:tc>
        <w:tc>
          <w:tcPr>
            <w:tcW w:w="129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Times New Roman"/>
                <w:color w:val="auto"/>
                <w:sz w:val="28"/>
                <w:szCs w:val="28"/>
              </w:rPr>
            </w:pPr>
            <w:r>
              <w:rPr>
                <w:rFonts w:hint="eastAsia" w:ascii="黑体" w:hAnsi="黑体" w:eastAsia="黑体" w:cs="Times New Roman"/>
                <w:color w:val="auto"/>
                <w:sz w:val="28"/>
                <w:szCs w:val="28"/>
              </w:rPr>
              <w:t>培训从业人员人数</w:t>
            </w:r>
          </w:p>
        </w:tc>
        <w:tc>
          <w:tcPr>
            <w:tcW w:w="1326"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Times New Roman"/>
                <w:color w:val="auto"/>
                <w:sz w:val="28"/>
                <w:szCs w:val="28"/>
                <w:lang w:val="en-US" w:eastAsia="zh-CN"/>
              </w:rPr>
            </w:pPr>
            <w:r>
              <w:rPr>
                <w:rFonts w:hint="eastAsia" w:ascii="黑体" w:hAnsi="黑体" w:eastAsia="黑体" w:cs="Times New Roman"/>
                <w:color w:val="auto"/>
                <w:sz w:val="28"/>
                <w:szCs w:val="28"/>
                <w:lang w:val="en-US" w:eastAsia="zh-CN"/>
              </w:rPr>
              <w:t>培训播放警示片</w:t>
            </w:r>
          </w:p>
        </w:tc>
        <w:tc>
          <w:tcPr>
            <w:tcW w:w="1272"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Times New Roman"/>
                <w:color w:val="auto"/>
                <w:sz w:val="28"/>
                <w:szCs w:val="28"/>
              </w:rPr>
            </w:pPr>
            <w:r>
              <w:rPr>
                <w:rFonts w:hint="eastAsia" w:ascii="黑体" w:hAnsi="黑体" w:eastAsia="黑体" w:cs="Times New Roman"/>
                <w:color w:val="auto"/>
                <w:sz w:val="28"/>
                <w:szCs w:val="28"/>
                <w:lang w:eastAsia="zh-CN"/>
              </w:rPr>
              <w:t>督促企业建档</w:t>
            </w:r>
          </w:p>
        </w:tc>
        <w:tc>
          <w:tcPr>
            <w:tcW w:w="14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Times New Roman"/>
                <w:color w:val="auto"/>
                <w:sz w:val="28"/>
                <w:szCs w:val="28"/>
                <w:lang w:eastAsia="zh-CN"/>
              </w:rPr>
            </w:pPr>
            <w:r>
              <w:rPr>
                <w:rFonts w:hint="eastAsia" w:ascii="黑体" w:hAnsi="黑体" w:eastAsia="黑体" w:cs="Times New Roman"/>
                <w:color w:val="auto"/>
                <w:sz w:val="28"/>
                <w:szCs w:val="28"/>
                <w:lang w:eastAsia="zh-CN"/>
              </w:rPr>
              <w:t>节后复工复产培训宣传</w:t>
            </w:r>
          </w:p>
        </w:tc>
        <w:tc>
          <w:tcPr>
            <w:tcW w:w="168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Times New Roman"/>
                <w:color w:val="auto"/>
                <w:sz w:val="28"/>
                <w:szCs w:val="28"/>
              </w:rPr>
            </w:pPr>
            <w:r>
              <w:rPr>
                <w:rFonts w:hint="eastAsia" w:ascii="黑体" w:hAnsi="黑体" w:eastAsia="黑体" w:cs="Times New Roman"/>
                <w:color w:val="auto"/>
                <w:sz w:val="28"/>
                <w:szCs w:val="28"/>
                <w:lang w:val="en-US" w:eastAsia="zh-CN"/>
              </w:rPr>
              <w:t>执法巡查、检查企业数</w:t>
            </w:r>
          </w:p>
        </w:tc>
        <w:tc>
          <w:tcPr>
            <w:tcW w:w="1314"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outlineLvl w:val="9"/>
              <w:rPr>
                <w:rFonts w:hint="eastAsia" w:ascii="黑体" w:hAnsi="黑体" w:eastAsia="黑体" w:cs="Times New Roman"/>
                <w:color w:val="auto"/>
                <w:sz w:val="28"/>
                <w:szCs w:val="28"/>
                <w:lang w:eastAsia="zh-CN"/>
              </w:rPr>
            </w:pPr>
            <w:r>
              <w:rPr>
                <w:rFonts w:hint="eastAsia" w:ascii="黑体" w:hAnsi="黑体" w:eastAsia="黑体" w:cs="Times New Roman"/>
                <w:color w:val="auto"/>
                <w:sz w:val="28"/>
                <w:szCs w:val="28"/>
                <w:lang w:eastAsia="zh-CN"/>
              </w:rPr>
              <w:t>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1" w:hRule="atLeast"/>
          <w:jc w:val="center"/>
        </w:trPr>
        <w:tc>
          <w:tcPr>
            <w:tcW w:w="2071"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cs="仿宋_GB2312"/>
                <w:color w:val="auto"/>
                <w:sz w:val="28"/>
                <w:szCs w:val="28"/>
                <w:lang w:eastAsia="zh-CN"/>
              </w:rPr>
              <w:t>“云课堂”线上培训</w:t>
            </w:r>
          </w:p>
        </w:tc>
        <w:tc>
          <w:tcPr>
            <w:tcW w:w="1475"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cs="仿宋_GB2312"/>
                <w:color w:val="auto"/>
                <w:sz w:val="28"/>
                <w:szCs w:val="28"/>
                <w:lang w:eastAsia="zh-CN"/>
              </w:rPr>
              <w:t>督促落实企业</w:t>
            </w: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家</w:t>
            </w:r>
          </w:p>
        </w:tc>
        <w:tc>
          <w:tcPr>
            <w:tcW w:w="16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人</w:t>
            </w:r>
          </w:p>
        </w:tc>
        <w:tc>
          <w:tcPr>
            <w:tcW w:w="129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w:t>
            </w:r>
          </w:p>
        </w:tc>
        <w:tc>
          <w:tcPr>
            <w:tcW w:w="1326"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次</w:t>
            </w:r>
          </w:p>
        </w:tc>
        <w:tc>
          <w:tcPr>
            <w:tcW w:w="1272"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pPr>
          </w:p>
        </w:tc>
        <w:tc>
          <w:tcPr>
            <w:tcW w:w="14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p>
        </w:tc>
        <w:tc>
          <w:tcPr>
            <w:tcW w:w="168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p>
        </w:tc>
        <w:tc>
          <w:tcPr>
            <w:tcW w:w="1314"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00" w:hRule="atLeast"/>
          <w:jc w:val="center"/>
        </w:trPr>
        <w:tc>
          <w:tcPr>
            <w:tcW w:w="2071"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cs="仿宋_GB2312"/>
                <w:color w:val="auto"/>
                <w:sz w:val="28"/>
                <w:szCs w:val="28"/>
                <w:lang w:eastAsia="zh-CN"/>
              </w:rPr>
            </w:pPr>
            <w:r>
              <w:rPr>
                <w:rFonts w:hint="eastAsia" w:ascii="仿宋_GB2312" w:hAnsi="仿宋_GB2312" w:cs="仿宋_GB2312"/>
                <w:color w:val="auto"/>
                <w:sz w:val="28"/>
                <w:szCs w:val="28"/>
                <w:lang w:eastAsia="zh-CN"/>
              </w:rPr>
              <w:t>实名制管理系统线上安全培训</w:t>
            </w:r>
          </w:p>
        </w:tc>
        <w:tc>
          <w:tcPr>
            <w:tcW w:w="1475"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cs="仿宋_GB2312"/>
                <w:color w:val="auto"/>
                <w:sz w:val="28"/>
                <w:szCs w:val="28"/>
                <w:lang w:eastAsia="zh-CN"/>
              </w:rPr>
            </w:pPr>
            <w:r>
              <w:rPr>
                <w:rFonts w:hint="eastAsia" w:ascii="仿宋_GB2312" w:hAnsi="仿宋_GB2312" w:cs="仿宋_GB2312"/>
                <w:color w:val="auto"/>
                <w:sz w:val="28"/>
                <w:szCs w:val="28"/>
                <w:lang w:eastAsia="zh-CN"/>
              </w:rPr>
              <w:t>督促落实企业</w:t>
            </w: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家</w:t>
            </w:r>
          </w:p>
        </w:tc>
        <w:tc>
          <w:tcPr>
            <w:tcW w:w="16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人</w:t>
            </w:r>
          </w:p>
        </w:tc>
        <w:tc>
          <w:tcPr>
            <w:tcW w:w="129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w:t>
            </w:r>
          </w:p>
        </w:tc>
        <w:tc>
          <w:tcPr>
            <w:tcW w:w="1326"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次</w:t>
            </w:r>
          </w:p>
        </w:tc>
        <w:tc>
          <w:tcPr>
            <w:tcW w:w="1272"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p>
        </w:tc>
        <w:tc>
          <w:tcPr>
            <w:tcW w:w="14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p>
        </w:tc>
        <w:tc>
          <w:tcPr>
            <w:tcW w:w="168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p>
        </w:tc>
        <w:tc>
          <w:tcPr>
            <w:tcW w:w="1314"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0" w:hRule="atLeast"/>
          <w:jc w:val="center"/>
        </w:trPr>
        <w:tc>
          <w:tcPr>
            <w:tcW w:w="2071"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cs="仿宋_GB2312"/>
                <w:color w:val="auto"/>
                <w:sz w:val="28"/>
                <w:szCs w:val="28"/>
                <w:lang w:eastAsia="zh-CN"/>
              </w:rPr>
              <w:t>线下</w:t>
            </w:r>
            <w:r>
              <w:rPr>
                <w:rFonts w:hint="eastAsia" w:ascii="仿宋_GB2312" w:hAnsi="仿宋_GB2312" w:eastAsia="仿宋_GB2312" w:cs="仿宋_GB2312"/>
                <w:color w:val="auto"/>
                <w:sz w:val="28"/>
                <w:szCs w:val="28"/>
                <w:lang w:eastAsia="zh-CN"/>
              </w:rPr>
              <w:t>专场培训</w:t>
            </w:r>
          </w:p>
        </w:tc>
        <w:tc>
          <w:tcPr>
            <w:tcW w:w="1475"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cs="仿宋_GB2312"/>
                <w:color w:val="auto"/>
                <w:sz w:val="28"/>
                <w:szCs w:val="28"/>
                <w:lang w:eastAsia="zh-CN"/>
              </w:rPr>
              <w:t>组织专场</w:t>
            </w: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场</w:t>
            </w:r>
          </w:p>
        </w:tc>
        <w:tc>
          <w:tcPr>
            <w:tcW w:w="16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人</w:t>
            </w:r>
          </w:p>
        </w:tc>
        <w:tc>
          <w:tcPr>
            <w:tcW w:w="129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w:t>
            </w:r>
          </w:p>
        </w:tc>
        <w:tc>
          <w:tcPr>
            <w:tcW w:w="1326"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次</w:t>
            </w:r>
          </w:p>
        </w:tc>
        <w:tc>
          <w:tcPr>
            <w:tcW w:w="1272"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ascii="Times New Roman" w:hAnsi="Times New Roman" w:eastAsia="仿宋_GB2312" w:cs="Times New Roman"/>
                <w:kern w:val="2"/>
                <w:sz w:val="32"/>
                <w:szCs w:val="22"/>
                <w:lang w:val="en-US"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家</w:t>
            </w:r>
          </w:p>
        </w:tc>
        <w:tc>
          <w:tcPr>
            <w:tcW w:w="14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kern w:val="2"/>
                <w:sz w:val="28"/>
                <w:szCs w:val="28"/>
                <w:lang w:val="en-US" w:eastAsia="zh-CN"/>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次</w:t>
            </w:r>
          </w:p>
        </w:tc>
        <w:tc>
          <w:tcPr>
            <w:tcW w:w="168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kern w:val="2"/>
                <w:sz w:val="28"/>
                <w:szCs w:val="28"/>
                <w:lang w:val="en-US"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家</w:t>
            </w:r>
          </w:p>
        </w:tc>
        <w:tc>
          <w:tcPr>
            <w:tcW w:w="1314"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kern w:val="2"/>
                <w:sz w:val="28"/>
                <w:szCs w:val="28"/>
                <w:lang w:val="en-US"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jc w:val="center"/>
        </w:trPr>
        <w:tc>
          <w:tcPr>
            <w:tcW w:w="2071"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lang w:eastAsia="zh-CN"/>
              </w:rPr>
              <w:t>合计</w:t>
            </w:r>
          </w:p>
        </w:tc>
        <w:tc>
          <w:tcPr>
            <w:tcW w:w="1475"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p>
        </w:tc>
        <w:tc>
          <w:tcPr>
            <w:tcW w:w="16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人</w:t>
            </w:r>
          </w:p>
        </w:tc>
        <w:tc>
          <w:tcPr>
            <w:tcW w:w="129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×人</w:t>
            </w:r>
          </w:p>
        </w:tc>
        <w:tc>
          <w:tcPr>
            <w:tcW w:w="1326"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次</w:t>
            </w:r>
          </w:p>
        </w:tc>
        <w:tc>
          <w:tcPr>
            <w:tcW w:w="1272"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家</w:t>
            </w:r>
          </w:p>
        </w:tc>
        <w:tc>
          <w:tcPr>
            <w:tcW w:w="1467"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eastAsia="仿宋_GB2312" w:cs="仿宋_GB2312"/>
                <w:color w:val="auto"/>
                <w:sz w:val="28"/>
                <w:szCs w:val="28"/>
                <w:lang w:eastAsia="zh-CN"/>
              </w:rPr>
              <w:t>次</w:t>
            </w:r>
          </w:p>
        </w:tc>
        <w:tc>
          <w:tcPr>
            <w:tcW w:w="1689"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家</w:t>
            </w:r>
          </w:p>
        </w:tc>
        <w:tc>
          <w:tcPr>
            <w:tcW w:w="1314" w:type="dxa"/>
            <w:vAlign w:val="center"/>
          </w:tcPr>
          <w:p>
            <w:pPr>
              <w:pStyle w:val="22"/>
              <w:keepNext w:val="0"/>
              <w:keepLines w:val="0"/>
              <w:pageBreakBefore w:val="0"/>
              <w:widowControl w:val="0"/>
              <w:kinsoku/>
              <w:wordWrap/>
              <w:overflowPunct/>
              <w:topLinePunct w:val="0"/>
              <w:autoSpaceDE/>
              <w:autoSpaceDN/>
              <w:bidi w:val="0"/>
              <w:adjustRightInd/>
              <w:snapToGrid/>
              <w:spacing w:before="0" w:beforeLines="0" w:after="0" w:afterLines="0" w:line="400" w:lineRule="exact"/>
              <w:ind w:left="0" w:leftChars="0" w:right="0" w:rightChars="0" w:firstLine="0" w:firstLineChars="0"/>
              <w:jc w:val="center"/>
              <w:textAlignment w:val="auto"/>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w:t>
            </w:r>
            <w:r>
              <w:rPr>
                <w:rFonts w:hint="eastAsia" w:ascii="仿宋_GB2312" w:hAnsi="仿宋_GB2312" w:cs="仿宋_GB2312"/>
                <w:color w:val="auto"/>
                <w:sz w:val="28"/>
                <w:szCs w:val="28"/>
                <w:lang w:eastAsia="zh-CN"/>
              </w:rPr>
              <w:t>元</w:t>
            </w:r>
          </w:p>
        </w:tc>
      </w:tr>
    </w:tbl>
    <w:p>
      <w:pPr>
        <w:pStyle w:val="2"/>
        <w:rPr>
          <w:sz w:val="24"/>
          <w:szCs w:val="24"/>
        </w:rPr>
      </w:pPr>
      <w:r>
        <w:rPr>
          <w:rFonts w:hint="eastAsia" w:ascii="仿宋_GB2312" w:hAnsi="仿宋_GB2312" w:eastAsia="仿宋_GB2312" w:cs="仿宋_GB2312"/>
          <w:b w:val="0"/>
          <w:bCs w:val="0"/>
          <w:i w:val="0"/>
          <w:iCs w:val="0"/>
          <w:color w:val="auto"/>
          <w:sz w:val="24"/>
          <w:szCs w:val="24"/>
          <w:lang w:val="en-US" w:eastAsia="zh-CN"/>
        </w:rPr>
        <w:t>备注：1.“云课堂”线上培训中“安全复工复产第一课”是必学，请督促企业认真录入资料；2.专场培训是指在防疫要求下各区、各部门组织针对重点行业领域的专场培训；3.宣传统计指电视台、电台、报纸、官微、官网等；4.请各监管部门于3月16号前盖章上报培训情况至区局各对应股室，以便区局收集。5.根据新《</w:t>
      </w:r>
      <w:r>
        <w:rPr>
          <w:rFonts w:hint="default" w:ascii="仿宋_GB2312" w:hAnsi="仿宋_GB2312" w:eastAsia="仿宋_GB2312" w:cs="仿宋_GB2312"/>
          <w:b w:val="0"/>
          <w:bCs w:val="0"/>
          <w:i w:val="0"/>
          <w:iCs w:val="0"/>
          <w:color w:val="auto"/>
          <w:sz w:val="24"/>
          <w:szCs w:val="24"/>
          <w:lang w:val="en-US" w:eastAsia="zh-CN"/>
        </w:rPr>
        <w:t>安全生产法》</w:t>
      </w:r>
      <w:r>
        <w:rPr>
          <w:rFonts w:hint="eastAsia" w:ascii="仿宋_GB2312" w:hAnsi="仿宋_GB2312" w:eastAsia="仿宋_GB2312" w:cs="仿宋_GB2312"/>
          <w:b w:val="0"/>
          <w:bCs w:val="0"/>
          <w:i w:val="0"/>
          <w:iCs w:val="0"/>
          <w:color w:val="auto"/>
          <w:sz w:val="24"/>
          <w:szCs w:val="24"/>
          <w:lang w:val="en-US" w:eastAsia="zh-CN"/>
        </w:rPr>
        <w:t>第九十七条第四款，企业未如实记录安全生产教育和培训情况的，可对企业作出处罚。</w:t>
      </w:r>
      <w:bookmarkStart w:id="1" w:name="_GoBack"/>
      <w:bookmarkEnd w:id="1"/>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苹方 常规">
    <w:altName w:val="宋体"/>
    <w:panose1 w:val="020B0300000000000000"/>
    <w:charset w:val="86"/>
    <w:family w:val="auto"/>
    <w:pitch w:val="default"/>
    <w:sig w:usb0="00000000" w:usb1="00000000" w:usb2="00000016" w:usb3="00000000" w:csb0="00040001" w:csb1="00000000"/>
  </w:font>
  <w:font w:name="楷体">
    <w:panose1 w:val="02010609060101010101"/>
    <w:charset w:val="86"/>
    <w:family w:val="modern"/>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方正姚体">
    <w:altName w:val="宋体"/>
    <w:panose1 w:val="02010601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PingFang SC Regular">
    <w:altName w:val="宋体"/>
    <w:panose1 w:val="020B0400000000000000"/>
    <w:charset w:val="86"/>
    <w:family w:val="auto"/>
    <w:pitch w:val="default"/>
    <w:sig w:usb0="00000000" w:usb1="00000000" w:usb2="00000017"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51" w:y="13"/>
      <w:ind w:right="-29" w:rightChars="-14"/>
      <w:rPr>
        <w:rStyle w:val="6"/>
        <w:rFonts w:ascii="宋体" w:hAnsi="宋体"/>
        <w:sz w:val="28"/>
        <w:szCs w:val="28"/>
      </w:rPr>
    </w:pPr>
    <w:r>
      <w:rPr>
        <w:rFonts w:hint="eastAsia" w:ascii="宋体" w:hAnsi="宋体"/>
        <w:sz w:val="28"/>
        <w:szCs w:val="28"/>
        <w:lang w:val="en-US" w:eastAsia="zh-CN"/>
      </w:rPr>
      <w:t xml:space="preserve">                               </w:t>
    </w:r>
    <w:r>
      <w:rPr>
        <w:rFonts w:ascii="宋体" w:hAnsi="宋体"/>
        <w:sz w:val="28"/>
        <w:szCs w:val="28"/>
      </w:rPr>
      <w:fldChar w:fldCharType="begin"/>
    </w:r>
    <w:r>
      <w:rPr>
        <w:rStyle w:val="6"/>
        <w:rFonts w:ascii="宋体" w:hAnsi="宋体"/>
        <w:sz w:val="28"/>
        <w:szCs w:val="28"/>
      </w:rPr>
      <w:instrText xml:space="preserve">PAGE  </w:instrText>
    </w:r>
    <w:r>
      <w:rPr>
        <w:rFonts w:ascii="宋体" w:hAnsi="宋体"/>
        <w:sz w:val="28"/>
        <w:szCs w:val="28"/>
      </w:rPr>
      <w:fldChar w:fldCharType="separate"/>
    </w:r>
    <w:r>
      <w:rPr>
        <w:rStyle w:val="6"/>
        <w:rFonts w:ascii="宋体" w:hAnsi="宋体"/>
        <w:sz w:val="28"/>
        <w:szCs w:val="28"/>
      </w:rPr>
      <w:t>- 1 -</w:t>
    </w:r>
    <w:r>
      <w:rPr>
        <w:rFonts w:ascii="宋体" w:hAnsi="宋体"/>
        <w:sz w:val="28"/>
        <w:szCs w:val="28"/>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51" w:y="13"/>
      <w:ind w:right="-29" w:rightChars="-14"/>
      <w:rPr>
        <w:rStyle w:val="41"/>
        <w:rFonts w:ascii="宋体" w:hAnsi="宋体"/>
        <w:sz w:val="28"/>
        <w:szCs w:val="28"/>
      </w:rPr>
    </w:pPr>
    <w:r>
      <w:rPr>
        <w:rFonts w:hint="eastAsia" w:ascii="宋体" w:hAnsi="宋体"/>
        <w:sz w:val="28"/>
        <w:szCs w:val="28"/>
        <w:lang w:val="en-US" w:eastAsia="zh-CN"/>
      </w:rPr>
      <w:t xml:space="preserve">      </w:t>
    </w:r>
    <w:r>
      <w:rPr>
        <w:rFonts w:ascii="宋体" w:hAnsi="宋体"/>
        <w:sz w:val="28"/>
        <w:szCs w:val="28"/>
      </w:rPr>
      <w:fldChar w:fldCharType="begin"/>
    </w:r>
    <w:r>
      <w:rPr>
        <w:rStyle w:val="41"/>
        <w:rFonts w:ascii="宋体" w:hAnsi="宋体"/>
        <w:sz w:val="28"/>
        <w:szCs w:val="28"/>
      </w:rPr>
      <w:instrText xml:space="preserve">PAGE  </w:instrText>
    </w:r>
    <w:r>
      <w:rPr>
        <w:rFonts w:ascii="宋体" w:hAnsi="宋体"/>
        <w:sz w:val="28"/>
        <w:szCs w:val="28"/>
      </w:rPr>
      <w:fldChar w:fldCharType="separate"/>
    </w:r>
    <w:r>
      <w:rPr>
        <w:rStyle w:val="41"/>
        <w:rFonts w:ascii="宋体" w:hAnsi="宋体"/>
        <w:sz w:val="28"/>
        <w:szCs w:val="28"/>
      </w:rPr>
      <w:t>- 37 -</w:t>
    </w:r>
    <w:r>
      <w:rPr>
        <w:rFonts w:ascii="宋体" w:hAnsi="宋体"/>
        <w:sz w:val="28"/>
        <w:szCs w:val="28"/>
      </w:rP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846" w:y="-2"/>
      <w:jc w:val="both"/>
      <w:rPr>
        <w:rStyle w:val="41"/>
        <w:rFonts w:ascii="宋体" w:hAnsi="宋体"/>
        <w:sz w:val="28"/>
        <w:szCs w:val="28"/>
      </w:rPr>
    </w:pPr>
    <w:r>
      <w:rPr>
        <w:rFonts w:ascii="宋体" w:hAnsi="宋体"/>
        <w:sz w:val="28"/>
        <w:szCs w:val="28"/>
      </w:rPr>
      <w:fldChar w:fldCharType="begin"/>
    </w:r>
    <w:r>
      <w:rPr>
        <w:rStyle w:val="41"/>
        <w:rFonts w:ascii="宋体" w:hAnsi="宋体"/>
        <w:sz w:val="28"/>
        <w:szCs w:val="28"/>
      </w:rPr>
      <w:instrText xml:space="preserve">PAGE  </w:instrText>
    </w:r>
    <w:r>
      <w:rPr>
        <w:rFonts w:ascii="宋体" w:hAnsi="宋体"/>
        <w:sz w:val="28"/>
        <w:szCs w:val="28"/>
      </w:rPr>
      <w:fldChar w:fldCharType="separate"/>
    </w:r>
    <w:r>
      <w:rPr>
        <w:rStyle w:val="41"/>
        <w:rFonts w:ascii="宋体" w:hAnsi="宋体"/>
        <w:sz w:val="28"/>
        <w:szCs w:val="28"/>
      </w:rPr>
      <w:t>- 37 -</w:t>
    </w:r>
    <w:r>
      <w:rPr>
        <w:rFonts w:ascii="宋体" w:hAnsi="宋体"/>
        <w:sz w:val="28"/>
        <w:szCs w:val="28"/>
      </w:rPr>
      <w:fldChar w:fldCharType="end"/>
    </w:r>
  </w:p>
  <w:p>
    <w:pPr>
      <w:pStyle w:val="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451" w:y="13"/>
      <w:ind w:right="-29" w:rightChars="-14"/>
      <w:rPr>
        <w:rStyle w:val="41"/>
        <w:rFonts w:ascii="宋体" w:hAnsi="宋体"/>
        <w:sz w:val="28"/>
        <w:szCs w:val="28"/>
      </w:rPr>
    </w:pPr>
    <w:r>
      <w:rPr>
        <w:rFonts w:hint="eastAsia" w:ascii="宋体" w:hAnsi="宋体"/>
        <w:sz w:val="28"/>
        <w:szCs w:val="28"/>
        <w:lang w:val="en-US" w:eastAsia="zh-CN"/>
      </w:rPr>
      <w:t xml:space="preserve">                                </w:t>
    </w:r>
    <w:r>
      <w:rPr>
        <w:rFonts w:ascii="宋体" w:hAnsi="宋体"/>
        <w:sz w:val="28"/>
        <w:szCs w:val="28"/>
      </w:rPr>
      <w:fldChar w:fldCharType="begin"/>
    </w:r>
    <w:r>
      <w:rPr>
        <w:rStyle w:val="41"/>
        <w:rFonts w:ascii="宋体" w:hAnsi="宋体"/>
        <w:sz w:val="28"/>
        <w:szCs w:val="28"/>
      </w:rPr>
      <w:instrText xml:space="preserve">PAGE  </w:instrText>
    </w:r>
    <w:r>
      <w:rPr>
        <w:rFonts w:ascii="宋体" w:hAnsi="宋体"/>
        <w:sz w:val="28"/>
        <w:szCs w:val="28"/>
      </w:rPr>
      <w:fldChar w:fldCharType="separate"/>
    </w:r>
    <w:r>
      <w:rPr>
        <w:rStyle w:val="41"/>
        <w:rFonts w:ascii="宋体" w:hAnsi="宋体"/>
        <w:sz w:val="28"/>
        <w:szCs w:val="28"/>
      </w:rPr>
      <w:t>- 35 -</w:t>
    </w:r>
    <w:r>
      <w:rPr>
        <w:rFonts w:ascii="宋体" w:hAnsi="宋体"/>
        <w:sz w:val="28"/>
        <w:szCs w:val="28"/>
      </w:rPr>
      <w:fldChar w:fldCharType="end"/>
    </w:r>
  </w:p>
  <w:p>
    <w:pPr>
      <w:pStyle w:val="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846" w:y="-2"/>
      <w:jc w:val="both"/>
      <w:rPr>
        <w:rStyle w:val="41"/>
        <w:rFonts w:ascii="宋体" w:hAnsi="宋体"/>
        <w:sz w:val="28"/>
        <w:szCs w:val="28"/>
      </w:rPr>
    </w:pPr>
    <w:r>
      <w:rPr>
        <w:rFonts w:ascii="宋体" w:hAnsi="宋体"/>
        <w:sz w:val="28"/>
        <w:szCs w:val="28"/>
      </w:rPr>
      <w:fldChar w:fldCharType="begin"/>
    </w:r>
    <w:r>
      <w:rPr>
        <w:rStyle w:val="41"/>
        <w:rFonts w:ascii="宋体" w:hAnsi="宋体"/>
        <w:sz w:val="28"/>
        <w:szCs w:val="28"/>
      </w:rPr>
      <w:instrText xml:space="preserve">PAGE  </w:instrText>
    </w:r>
    <w:r>
      <w:rPr>
        <w:rFonts w:ascii="宋体" w:hAnsi="宋体"/>
        <w:sz w:val="28"/>
        <w:szCs w:val="28"/>
      </w:rPr>
      <w:fldChar w:fldCharType="separate"/>
    </w:r>
    <w:r>
      <w:rPr>
        <w:rStyle w:val="41"/>
        <w:rFonts w:ascii="宋体" w:hAnsi="宋体"/>
        <w:sz w:val="28"/>
        <w:szCs w:val="28"/>
      </w:rPr>
      <w:t>- 36 -</w:t>
    </w:r>
    <w:r>
      <w:rPr>
        <w:rFonts w:ascii="宋体" w:hAnsi="宋体"/>
        <w:sz w:val="28"/>
        <w:szCs w:val="28"/>
      </w:rPr>
      <w:fldChar w:fldCharType="end"/>
    </w:r>
  </w:p>
  <w:p>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pBdr>
        <w:top w:val="none" w:color="auto" w:sz="0" w:space="1"/>
        <w:left w:val="none" w:color="auto" w:sz="0" w:space="4"/>
        <w:bottom w:val="none" w:color="auto" w:sz="0" w:space="1"/>
        <w:right w:val="none" w:color="auto" w:sz="0" w:space="4"/>
      </w:pBdr>
      <w:snapToGrid w:val="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1BE12A2"/>
    <w:multiLevelType w:val="singleLevel"/>
    <w:tmpl w:val="B1BE12A2"/>
    <w:lvl w:ilvl="0" w:tentative="0">
      <w:start w:val="1"/>
      <w:numFmt w:val="decimal"/>
      <w:suff w:val="nothing"/>
      <w:lvlText w:val="%1."/>
      <w:lvlJc w:val="left"/>
    </w:lvl>
  </w:abstractNum>
  <w:abstractNum w:abstractNumId="1">
    <w:nsid w:val="0000000C"/>
    <w:multiLevelType w:val="singleLevel"/>
    <w:tmpl w:val="0000000C"/>
    <w:lvl w:ilvl="0" w:tentative="0">
      <w:start w:val="1"/>
      <w:numFmt w:val="decimal"/>
      <w:suff w:val="nothing"/>
      <w:lvlText w:val="%1."/>
      <w:lvlJc w:val="left"/>
    </w:lvl>
  </w:abstractNum>
  <w:abstractNum w:abstractNumId="2">
    <w:nsid w:val="0000000E"/>
    <w:multiLevelType w:val="singleLevel"/>
    <w:tmpl w:val="0000000E"/>
    <w:lvl w:ilvl="0" w:tentative="0">
      <w:start w:val="1"/>
      <w:numFmt w:val="decimal"/>
      <w:suff w:val="nothing"/>
      <w:lvlText w:val="%1."/>
      <w:lvlJc w:val="left"/>
    </w:lvl>
  </w:abstractNum>
  <w:abstractNum w:abstractNumId="3">
    <w:nsid w:val="00000010"/>
    <w:multiLevelType w:val="singleLevel"/>
    <w:tmpl w:val="00000010"/>
    <w:lvl w:ilvl="0" w:tentative="0">
      <w:start w:val="2"/>
      <w:numFmt w:val="chineseCounting"/>
      <w:suff w:val="nothing"/>
      <w:lvlText w:val="%1、"/>
      <w:lvlJc w:val="left"/>
      <w:pPr>
        <w:ind w:left="-22"/>
      </w:pPr>
    </w:lvl>
  </w:abstractNum>
  <w:abstractNum w:abstractNumId="4">
    <w:nsid w:val="00000011"/>
    <w:multiLevelType w:val="singleLevel"/>
    <w:tmpl w:val="00000011"/>
    <w:lvl w:ilvl="0" w:tentative="0">
      <w:start w:val="1"/>
      <w:numFmt w:val="decimal"/>
      <w:suff w:val="nothing"/>
      <w:lvlText w:val="%1."/>
      <w:lvlJc w:val="left"/>
    </w:lvl>
  </w:abstractNum>
  <w:abstractNum w:abstractNumId="5">
    <w:nsid w:val="00000012"/>
    <w:multiLevelType w:val="singleLevel"/>
    <w:tmpl w:val="00000012"/>
    <w:lvl w:ilvl="0" w:tentative="0">
      <w:start w:val="1"/>
      <w:numFmt w:val="decimal"/>
      <w:suff w:val="nothing"/>
      <w:lvlText w:val="%1."/>
      <w:lvlJc w:val="left"/>
    </w:lvl>
  </w:abstractNum>
  <w:abstractNum w:abstractNumId="6">
    <w:nsid w:val="00000013"/>
    <w:multiLevelType w:val="singleLevel"/>
    <w:tmpl w:val="00000013"/>
    <w:lvl w:ilvl="0" w:tentative="0">
      <w:start w:val="1"/>
      <w:numFmt w:val="decimal"/>
      <w:suff w:val="nothing"/>
      <w:lvlText w:val="%1."/>
      <w:lvlJc w:val="left"/>
    </w:lvl>
  </w:abstractNum>
  <w:abstractNum w:abstractNumId="7">
    <w:nsid w:val="00000014"/>
    <w:multiLevelType w:val="singleLevel"/>
    <w:tmpl w:val="00000014"/>
    <w:lvl w:ilvl="0" w:tentative="0">
      <w:start w:val="1"/>
      <w:numFmt w:val="decimal"/>
      <w:suff w:val="nothing"/>
      <w:lvlText w:val="%1."/>
      <w:lvlJc w:val="left"/>
    </w:lvl>
  </w:abstractNum>
  <w:abstractNum w:abstractNumId="8">
    <w:nsid w:val="00000015"/>
    <w:multiLevelType w:val="singleLevel"/>
    <w:tmpl w:val="00000015"/>
    <w:lvl w:ilvl="0" w:tentative="0">
      <w:start w:val="1"/>
      <w:numFmt w:val="decimal"/>
      <w:suff w:val="nothing"/>
      <w:lvlText w:val="%1."/>
      <w:lvlJc w:val="left"/>
    </w:lvl>
  </w:abstractNum>
  <w:abstractNum w:abstractNumId="9">
    <w:nsid w:val="00000016"/>
    <w:multiLevelType w:val="singleLevel"/>
    <w:tmpl w:val="00000016"/>
    <w:lvl w:ilvl="0" w:tentative="0">
      <w:start w:val="1"/>
      <w:numFmt w:val="decimal"/>
      <w:suff w:val="nothing"/>
      <w:lvlText w:val="%1."/>
      <w:lvlJc w:val="left"/>
    </w:lvl>
  </w:abstractNum>
  <w:abstractNum w:abstractNumId="10">
    <w:nsid w:val="00000017"/>
    <w:multiLevelType w:val="singleLevel"/>
    <w:tmpl w:val="00000017"/>
    <w:lvl w:ilvl="0" w:tentative="0">
      <w:start w:val="1"/>
      <w:numFmt w:val="decimal"/>
      <w:suff w:val="nothing"/>
      <w:lvlText w:val="%1."/>
      <w:lvlJc w:val="left"/>
    </w:lvl>
  </w:abstractNum>
  <w:abstractNum w:abstractNumId="11">
    <w:nsid w:val="00000018"/>
    <w:multiLevelType w:val="singleLevel"/>
    <w:tmpl w:val="00000018"/>
    <w:lvl w:ilvl="0" w:tentative="0">
      <w:start w:val="1"/>
      <w:numFmt w:val="decimal"/>
      <w:suff w:val="nothing"/>
      <w:lvlText w:val="%1."/>
      <w:lvlJc w:val="left"/>
    </w:lvl>
  </w:abstractNum>
  <w:abstractNum w:abstractNumId="12">
    <w:nsid w:val="0000001A"/>
    <w:multiLevelType w:val="singleLevel"/>
    <w:tmpl w:val="0000001A"/>
    <w:lvl w:ilvl="0" w:tentative="0">
      <w:start w:val="1"/>
      <w:numFmt w:val="decimal"/>
      <w:suff w:val="nothing"/>
      <w:lvlText w:val="%1."/>
      <w:lvlJc w:val="left"/>
    </w:lvl>
  </w:abstractNum>
  <w:abstractNum w:abstractNumId="13">
    <w:nsid w:val="0000001B"/>
    <w:multiLevelType w:val="singleLevel"/>
    <w:tmpl w:val="0000001B"/>
    <w:lvl w:ilvl="0" w:tentative="0">
      <w:start w:val="1"/>
      <w:numFmt w:val="decimal"/>
      <w:suff w:val="nothing"/>
      <w:lvlText w:val="（%1）"/>
      <w:lvlJc w:val="left"/>
    </w:lvl>
  </w:abstractNum>
  <w:abstractNum w:abstractNumId="14">
    <w:nsid w:val="0000001C"/>
    <w:multiLevelType w:val="singleLevel"/>
    <w:tmpl w:val="0000001C"/>
    <w:lvl w:ilvl="0" w:tentative="0">
      <w:start w:val="1"/>
      <w:numFmt w:val="decimal"/>
      <w:suff w:val="nothing"/>
      <w:lvlText w:val="%1."/>
      <w:lvlJc w:val="left"/>
    </w:lvl>
  </w:abstractNum>
  <w:num w:numId="1">
    <w:abstractNumId w:val="8"/>
  </w:num>
  <w:num w:numId="2">
    <w:abstractNumId w:val="11"/>
  </w:num>
  <w:num w:numId="3">
    <w:abstractNumId w:val="2"/>
  </w:num>
  <w:num w:numId="4">
    <w:abstractNumId w:val="6"/>
  </w:num>
  <w:num w:numId="5">
    <w:abstractNumId w:val="3"/>
  </w:num>
  <w:num w:numId="6">
    <w:abstractNumId w:val="10"/>
  </w:num>
  <w:num w:numId="7">
    <w:abstractNumId w:val="1"/>
  </w:num>
  <w:num w:numId="8">
    <w:abstractNumId w:val="5"/>
  </w:num>
  <w:num w:numId="9">
    <w:abstractNumId w:val="4"/>
  </w:num>
  <w:num w:numId="10">
    <w:abstractNumId w:val="12"/>
  </w:num>
  <w:num w:numId="11">
    <w:abstractNumId w:val="14"/>
  </w:num>
  <w:num w:numId="12">
    <w:abstractNumId w:val="7"/>
  </w:num>
  <w:num w:numId="13">
    <w:abstractNumId w:val="9"/>
  </w:num>
  <w:num w:numId="14">
    <w:abstractNumId w:val="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A44A82"/>
    <w:rsid w:val="07E45B63"/>
    <w:rsid w:val="15FB21F4"/>
    <w:rsid w:val="18252BDF"/>
    <w:rsid w:val="19A7682F"/>
    <w:rsid w:val="1CFB6E70"/>
    <w:rsid w:val="1FF324D8"/>
    <w:rsid w:val="2C6627A9"/>
    <w:rsid w:val="32156C24"/>
    <w:rsid w:val="357F3CD7"/>
    <w:rsid w:val="36D23452"/>
    <w:rsid w:val="5BA44A82"/>
    <w:rsid w:val="5FFC72FB"/>
    <w:rsid w:val="6AF86E16"/>
    <w:rsid w:val="6B662CC9"/>
    <w:rsid w:val="7B2E3E82"/>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w:qFormat/>
    <w:uiPriority w:val="0"/>
    <w:pPr>
      <w:widowControl w:val="0"/>
      <w:spacing w:after="120" w:afterLines="0" w:afterAutospacing="0"/>
      <w:jc w:val="both"/>
    </w:pPr>
    <w:rPr>
      <w:rFonts w:ascii="Calibri" w:hAnsi="Calibri" w:eastAsia="宋体" w:cs="Times New Roman"/>
      <w:kern w:val="2"/>
      <w:sz w:val="21"/>
      <w:szCs w:val="24"/>
      <w:lang w:val="en-US" w:eastAsia="zh-CN"/>
    </w:rPr>
  </w:style>
  <w:style w:type="paragraph" w:styleId="3">
    <w:name w:val="footer"/>
    <w:basedOn w:val="1"/>
    <w:qFormat/>
    <w:uiPriority w:val="0"/>
    <w:pPr>
      <w:tabs>
        <w:tab w:val="center" w:pos="4153"/>
        <w:tab w:val="right" w:pos="8306"/>
      </w:tabs>
      <w:overflowPunct w:val="0"/>
      <w:autoSpaceDE w:val="0"/>
      <w:autoSpaceDN w:val="0"/>
      <w:adjustRightInd w:val="0"/>
      <w:spacing w:line="240" w:lineRule="atLeast"/>
      <w:jc w:val="both"/>
      <w:textAlignment w:val="baseline"/>
    </w:pPr>
    <w:rPr>
      <w:sz w:val="20"/>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page number"/>
    <w:basedOn w:val="5"/>
    <w:qFormat/>
    <w:uiPriority w:val="0"/>
  </w:style>
  <w:style w:type="paragraph" w:customStyle="1" w:styleId="8">
    <w:name w:val="正文 New"/>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9">
    <w:name w:val="正文 New New New New"/>
    <w:next w:val="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0">
    <w:name w:val="BodyText"/>
    <w:basedOn w:val="9"/>
    <w:qFormat/>
    <w:uiPriority w:val="0"/>
    <w:pPr>
      <w:spacing w:after="120" w:afterLines="0"/>
      <w:jc w:val="both"/>
      <w:textAlignment w:val="baseline"/>
    </w:pPr>
    <w:rPr>
      <w:rFonts w:ascii="Calibri" w:hAnsi="Calibri" w:eastAsia="宋体" w:cs="Times New Roman"/>
    </w:rPr>
  </w:style>
  <w:style w:type="paragraph" w:customStyle="1" w:styleId="11">
    <w:name w:val="正文 New New New New New New New"/>
    <w:qFormat/>
    <w:uiPriority w:val="0"/>
    <w:pPr>
      <w:widowControl w:val="0"/>
      <w:jc w:val="both"/>
    </w:pPr>
    <w:rPr>
      <w:rFonts w:ascii="Calibri" w:hAnsi="Calibri" w:eastAsia="宋体" w:cs="黑体"/>
      <w:kern w:val="2"/>
      <w:sz w:val="21"/>
      <w:szCs w:val="24"/>
      <w:lang w:val="en-US" w:eastAsia="zh-CN" w:bidi="ar-SA"/>
    </w:rPr>
  </w:style>
  <w:style w:type="paragraph" w:customStyle="1" w:styleId="12">
    <w:name w:val="正文 New New New New New New"/>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
    <w:name w:val="Normal (Web)"/>
    <w:basedOn w:val="14"/>
    <w:qFormat/>
    <w:uiPriority w:val="0"/>
    <w:pPr>
      <w:spacing w:before="100" w:beforeLines="0" w:beforeAutospacing="1" w:after="100" w:afterLines="0" w:afterAutospacing="1"/>
      <w:jc w:val="left"/>
    </w:pPr>
    <w:rPr>
      <w:rFonts w:ascii="Calibri" w:hAnsi="Calibri"/>
      <w:kern w:val="0"/>
      <w:sz w:val="24"/>
    </w:rPr>
  </w:style>
  <w:style w:type="paragraph" w:customStyle="1" w:styleId="14">
    <w:name w:val="正文 New New"/>
    <w:next w:val="15"/>
    <w:qFormat/>
    <w:uiPriority w:val="0"/>
    <w:pPr>
      <w:widowControl w:val="0"/>
      <w:jc w:val="both"/>
    </w:pPr>
    <w:rPr>
      <w:rFonts w:ascii="Calibri" w:hAnsi="Calibri" w:eastAsia="宋体" w:cs="Times New Roman"/>
      <w:kern w:val="2"/>
      <w:sz w:val="21"/>
      <w:szCs w:val="24"/>
      <w:lang w:val="en-US" w:eastAsia="zh-CN"/>
    </w:rPr>
  </w:style>
  <w:style w:type="paragraph" w:customStyle="1" w:styleId="15">
    <w:name w:val="Plain Text"/>
    <w:basedOn w:val="14"/>
    <w:qFormat/>
    <w:uiPriority w:val="0"/>
    <w:rPr>
      <w:rFonts w:ascii="宋体" w:hAnsi="Courier New" w:cs="宋体"/>
      <w:szCs w:val="21"/>
    </w:rPr>
  </w:style>
  <w:style w:type="paragraph" w:customStyle="1" w:styleId="16">
    <w:name w:val="p0"/>
    <w:basedOn w:val="1"/>
    <w:qFormat/>
    <w:uiPriority w:val="0"/>
    <w:pPr>
      <w:keepNext w:val="0"/>
      <w:keepLines w:val="0"/>
      <w:widowControl/>
      <w:suppressLineNumbers w:val="0"/>
      <w:spacing w:before="0" w:beforeLines="0" w:beforeAutospacing="0" w:after="0" w:afterLines="0" w:afterAutospacing="0" w:line="240" w:lineRule="atLeast"/>
      <w:ind w:left="0" w:right="0"/>
      <w:jc w:val="both"/>
    </w:pPr>
    <w:rPr>
      <w:rFonts w:hint="default" w:ascii="Calibri" w:hAnsi="Calibri" w:eastAsia="宋体" w:cs="Times New Roman"/>
      <w:spacing w:val="-6"/>
      <w:kern w:val="2"/>
      <w:sz w:val="32"/>
      <w:szCs w:val="24"/>
      <w:lang w:val="en-US" w:eastAsia="zh-CN" w:bidi="ar"/>
    </w:rPr>
  </w:style>
  <w:style w:type="paragraph" w:customStyle="1" w:styleId="17">
    <w:name w:val="目录 2 New"/>
    <w:basedOn w:val="18"/>
    <w:next w:val="18"/>
    <w:qFormat/>
    <w:uiPriority w:val="0"/>
    <w:rPr>
      <w:rFonts w:hint="default"/>
      <w:sz w:val="21"/>
    </w:rPr>
  </w:style>
  <w:style w:type="paragraph" w:customStyle="1" w:styleId="18">
    <w:name w:val="正文 New New New New New"/>
    <w:next w:val="15"/>
    <w:qFormat/>
    <w:uiPriority w:val="0"/>
    <w:pPr>
      <w:widowControl w:val="0"/>
      <w:jc w:val="both"/>
    </w:pPr>
    <w:rPr>
      <w:rFonts w:ascii="Calibri" w:hAnsi="Calibri" w:eastAsia="宋体" w:cs="Times New Roman"/>
      <w:kern w:val="2"/>
      <w:sz w:val="21"/>
      <w:szCs w:val="24"/>
      <w:lang w:val="en-US" w:eastAsia="zh-CN"/>
    </w:rPr>
  </w:style>
  <w:style w:type="paragraph" w:customStyle="1" w:styleId="19">
    <w:name w:val="正文 New New New New New New New New"/>
    <w:next w:val="20"/>
    <w:qFormat/>
    <w:uiPriority w:val="0"/>
    <w:pPr>
      <w:widowControl w:val="0"/>
      <w:jc w:val="both"/>
    </w:pPr>
    <w:rPr>
      <w:rFonts w:ascii="Calibri" w:hAnsi="Calibri" w:eastAsia="宋体" w:cs="黑体"/>
      <w:kern w:val="2"/>
      <w:sz w:val="21"/>
      <w:szCs w:val="24"/>
      <w:lang w:val="en-US" w:eastAsia="zh-CN"/>
    </w:rPr>
  </w:style>
  <w:style w:type="paragraph" w:customStyle="1" w:styleId="20">
    <w:name w:val="正文文本 New New"/>
    <w:basedOn w:val="19"/>
    <w:qFormat/>
    <w:uiPriority w:val="0"/>
    <w:pPr>
      <w:spacing w:after="120" w:afterLines="0" w:afterAutospacing="0"/>
    </w:pPr>
  </w:style>
  <w:style w:type="paragraph" w:customStyle="1" w:styleId="21">
    <w:name w:val="正文 New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22">
    <w:name w:val="Normal New New New"/>
    <w:qFormat/>
    <w:uiPriority w:val="0"/>
    <w:pPr>
      <w:widowControl w:val="0"/>
      <w:jc w:val="both"/>
    </w:pPr>
    <w:rPr>
      <w:rFonts w:ascii="Times New Roman" w:hAnsi="Times New Roman" w:eastAsia="仿宋_GB2312" w:cs="Times New Roman"/>
      <w:kern w:val="2"/>
      <w:sz w:val="32"/>
      <w:szCs w:val="22"/>
      <w:lang w:val="en-US" w:eastAsia="zh-CN"/>
    </w:rPr>
  </w:style>
  <w:style w:type="paragraph" w:customStyle="1" w:styleId="23">
    <w:name w:val="Normal"/>
    <w:qFormat/>
    <w:uiPriority w:val="0"/>
    <w:pPr>
      <w:widowControl w:val="0"/>
      <w:jc w:val="both"/>
    </w:pPr>
    <w:rPr>
      <w:rFonts w:hint="eastAsia" w:ascii="Times New Roman" w:hAnsi="Times New Roman" w:eastAsia="宋体" w:cs="Times New Roman"/>
      <w:kern w:val="2"/>
      <w:sz w:val="21"/>
      <w:szCs w:val="22"/>
      <w:lang w:val="en-US" w:eastAsia="zh-CN"/>
    </w:rPr>
  </w:style>
  <w:style w:type="paragraph" w:customStyle="1" w:styleId="24">
    <w:name w:val="正文 New New New New New New New New New New New New New New New"/>
    <w:next w:val="10"/>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25">
    <w:name w:val="正文 New New New New New New New New New New"/>
    <w:next w:val="15"/>
    <w:qFormat/>
    <w:uiPriority w:val="0"/>
    <w:pPr>
      <w:widowControl w:val="0"/>
      <w:jc w:val="both"/>
    </w:pPr>
    <w:rPr>
      <w:rFonts w:ascii="Calibri" w:hAnsi="Calibri" w:eastAsia="宋体" w:cs="Times New Roman"/>
      <w:kern w:val="2"/>
      <w:sz w:val="21"/>
      <w:szCs w:val="24"/>
      <w:lang w:val="en-US" w:eastAsia="zh-CN"/>
    </w:rPr>
  </w:style>
  <w:style w:type="paragraph" w:customStyle="1" w:styleId="26">
    <w:name w:val="正文 New New New New New New New New New New New New"/>
    <w:next w:val="27"/>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27">
    <w:name w:val="正文文本 2 New New New"/>
    <w:basedOn w:val="25"/>
    <w:qFormat/>
    <w:uiPriority w:val="0"/>
    <w:pPr>
      <w:spacing w:after="120" w:afterLines="0" w:line="480" w:lineRule="auto"/>
    </w:pPr>
  </w:style>
  <w:style w:type="paragraph" w:customStyle="1" w:styleId="28">
    <w:name w:val="普通(网站) New New"/>
    <w:basedOn w:val="21"/>
    <w:qFormat/>
    <w:uiPriority w:val="0"/>
    <w:pPr>
      <w:spacing w:before="100" w:beforeLines="0" w:beforeAutospacing="1" w:after="100" w:afterLines="0" w:afterAutospacing="1"/>
      <w:ind w:left="0" w:right="0"/>
      <w:jc w:val="left"/>
    </w:pPr>
    <w:rPr>
      <w:kern w:val="0"/>
      <w:sz w:val="24"/>
      <w:lang w:val="en-US" w:eastAsia="zh-CN"/>
    </w:rPr>
  </w:style>
  <w:style w:type="paragraph" w:customStyle="1" w:styleId="29">
    <w:name w:val="正文 New New New New New New New New New"/>
    <w:next w:val="10"/>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0">
    <w:name w:val="正文文本 New New New"/>
    <w:basedOn w:val="29"/>
    <w:qFormat/>
    <w:uiPriority w:val="0"/>
    <w:pPr>
      <w:spacing w:after="120" w:afterLines="0" w:afterAutospacing="0"/>
    </w:pPr>
  </w:style>
  <w:style w:type="paragraph" w:customStyle="1" w:styleId="31">
    <w:name w:val="正文 New New New New New New New New New New New New New"/>
    <w:next w:val="32"/>
    <w:qFormat/>
    <w:uiPriority w:val="0"/>
    <w:pPr>
      <w:widowControl w:val="0"/>
      <w:jc w:val="both"/>
    </w:pPr>
    <w:rPr>
      <w:rFonts w:ascii="Calibri" w:hAnsi="Calibri" w:eastAsia="宋体" w:cs="黑体"/>
      <w:kern w:val="2"/>
      <w:sz w:val="21"/>
      <w:szCs w:val="24"/>
      <w:lang w:val="en-US" w:eastAsia="zh-CN"/>
    </w:rPr>
  </w:style>
  <w:style w:type="paragraph" w:customStyle="1" w:styleId="32">
    <w:name w:val="目录 2 New New New New"/>
    <w:basedOn w:val="31"/>
    <w:next w:val="31"/>
    <w:qFormat/>
    <w:uiPriority w:val="0"/>
    <w:rPr>
      <w:rFonts w:hint="default"/>
      <w:sz w:val="21"/>
    </w:rPr>
  </w:style>
  <w:style w:type="paragraph" w:customStyle="1" w:styleId="33">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rPr>
  </w:style>
  <w:style w:type="paragraph" w:customStyle="1" w:styleId="34">
    <w:name w:val="正文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5">
    <w:name w:val="正文 New New New New New New New New New New New New New New New New New New New New"/>
    <w:next w:val="10"/>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6">
    <w:name w:val="正文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7">
    <w:name w:val="正文 New New New New New New New New New New New New New New New New New New"/>
    <w:next w:val="27"/>
    <w:qFormat/>
    <w:uiPriority w:val="0"/>
    <w:pPr>
      <w:widowControl w:val="0"/>
      <w:jc w:val="both"/>
    </w:pPr>
    <w:rPr>
      <w:rFonts w:ascii="Calibri" w:hAnsi="Calibri" w:eastAsia="宋体" w:cs="Times New Roman"/>
      <w:kern w:val="2"/>
      <w:sz w:val="21"/>
      <w:szCs w:val="24"/>
      <w:lang w:val="en-US" w:eastAsia="zh-CN"/>
    </w:rPr>
  </w:style>
  <w:style w:type="paragraph" w:customStyle="1" w:styleId="38">
    <w:name w:val="正文 New New New New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rPr>
  </w:style>
  <w:style w:type="paragraph" w:customStyle="1" w:styleId="39">
    <w:name w:val="Normal New New"/>
    <w:qFormat/>
    <w:uiPriority w:val="0"/>
    <w:pPr>
      <w:widowControl w:val="0"/>
      <w:jc w:val="both"/>
    </w:pPr>
    <w:rPr>
      <w:rFonts w:ascii="Times New Roman" w:hAnsi="Times New Roman" w:eastAsia="仿宋_GB2312" w:cs="Times New Roman"/>
      <w:kern w:val="2"/>
      <w:sz w:val="32"/>
      <w:szCs w:val="22"/>
      <w:lang w:val="en-US" w:eastAsia="zh-CN"/>
    </w:rPr>
  </w:style>
  <w:style w:type="paragraph" w:customStyle="1" w:styleId="40">
    <w:name w:val="Normal New New New New New New New New New"/>
    <w:qFormat/>
    <w:uiPriority w:val="0"/>
    <w:pPr>
      <w:widowControl w:val="0"/>
      <w:jc w:val="both"/>
    </w:pPr>
    <w:rPr>
      <w:rFonts w:ascii="Calibri" w:hAnsi="Calibri" w:eastAsia="宋体" w:cs="Times New Roman"/>
      <w:kern w:val="2"/>
      <w:sz w:val="21"/>
      <w:szCs w:val="22"/>
      <w:lang w:val="en-US" w:eastAsia="zh-CN"/>
    </w:rPr>
  </w:style>
  <w:style w:type="character" w:customStyle="1" w:styleId="41">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市住房和城乡建设管理局</Company>
  <Pages>1</Pages>
  <Words>0</Words>
  <Characters>0</Characters>
  <Lines>0</Lines>
  <Paragraphs>0</Paragraphs>
  <TotalTime>0</TotalTime>
  <ScaleCrop>false</ScaleCrop>
  <LinksUpToDate>false</LinksUpToDate>
  <CharactersWithSpaces>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2022-01-19T02:34:00Z</dcterms:created>
  <dc:creator>彭小丹</dc:creator>
  <cp:lastModifiedBy>质安科</cp:lastModifiedBy>
  <dcterms:modified xsi:type="dcterms:W3CDTF">2022-01-29T12:28:56Z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