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1AD5" w:rsidRPr="00481AD5" w:rsidRDefault="00481AD5" w:rsidP="00481AD5">
      <w:pPr>
        <w:widowControl/>
        <w:shd w:val="clear" w:color="auto" w:fill="FFFFFF"/>
        <w:spacing w:line="360" w:lineRule="auto"/>
        <w:jc w:val="center"/>
        <w:outlineLvl w:val="0"/>
        <w:rPr>
          <w:rFonts w:asciiTheme="minorEastAsia" w:hAnsiTheme="minorEastAsia" w:cs="宋体"/>
          <w:b/>
          <w:color w:val="0E59A4"/>
          <w:kern w:val="36"/>
          <w:sz w:val="32"/>
          <w:szCs w:val="32"/>
        </w:rPr>
      </w:pPr>
      <w:r w:rsidRPr="00481AD5">
        <w:rPr>
          <w:rFonts w:asciiTheme="minorEastAsia" w:hAnsiTheme="minorEastAsia" w:cs="宋体" w:hint="eastAsia"/>
          <w:b/>
          <w:color w:val="0E59A4"/>
          <w:kern w:val="36"/>
          <w:sz w:val="32"/>
          <w:szCs w:val="32"/>
        </w:rPr>
        <w:t>佛山市南海区住房城乡建设和水利局 广东电网有限责任公司佛山南海供电局关于室外公共停车场报装汽车充电设施的建设指引</w:t>
      </w:r>
    </w:p>
    <w:p w:rsidR="00000000" w:rsidRPr="00481AD5" w:rsidRDefault="000734D5" w:rsidP="00481AD5">
      <w:pPr>
        <w:spacing w:line="360" w:lineRule="auto"/>
        <w:rPr>
          <w:rFonts w:asciiTheme="minorEastAsia" w:hAnsiTheme="minorEastAsia" w:hint="eastAsia"/>
          <w:b/>
          <w:szCs w:val="21"/>
        </w:rPr>
      </w:pPr>
    </w:p>
    <w:p w:rsidR="00481AD5" w:rsidRPr="00481AD5" w:rsidRDefault="00481AD5" w:rsidP="00481AD5">
      <w:pPr>
        <w:pStyle w:val="a5"/>
        <w:shd w:val="clear" w:color="auto" w:fill="FFFFFF"/>
        <w:spacing w:before="225" w:beforeAutospacing="0" w:after="225" w:afterAutospacing="0" w:line="360" w:lineRule="auto"/>
        <w:jc w:val="center"/>
        <w:rPr>
          <w:rFonts w:asciiTheme="minorEastAsia" w:eastAsiaTheme="minorEastAsia" w:hAnsiTheme="minorEastAsia"/>
          <w:color w:val="333333"/>
          <w:sz w:val="21"/>
          <w:szCs w:val="21"/>
        </w:rPr>
      </w:pPr>
      <w:r w:rsidRPr="00481AD5">
        <w:rPr>
          <w:rFonts w:asciiTheme="minorEastAsia" w:eastAsiaTheme="minorEastAsia" w:hAnsiTheme="minorEastAsia" w:hint="eastAsia"/>
          <w:color w:val="333333"/>
          <w:sz w:val="21"/>
          <w:szCs w:val="21"/>
        </w:rPr>
        <w:t>南建水函〔2022〕29号</w:t>
      </w:r>
    </w:p>
    <w:p w:rsidR="00481AD5" w:rsidRPr="00481AD5" w:rsidRDefault="00481AD5" w:rsidP="00481AD5">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481AD5">
        <w:rPr>
          <w:rFonts w:asciiTheme="minorEastAsia" w:eastAsiaTheme="minorEastAsia" w:hAnsiTheme="minorEastAsia" w:hint="eastAsia"/>
          <w:color w:val="333333"/>
          <w:sz w:val="21"/>
          <w:szCs w:val="21"/>
        </w:rPr>
        <w:t>各业主委员会、物业服务企业、开发建设单位、充电设施运营企业：</w:t>
      </w:r>
    </w:p>
    <w:p w:rsidR="00481AD5" w:rsidRPr="00481AD5" w:rsidRDefault="00481AD5" w:rsidP="00481AD5">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481AD5">
        <w:rPr>
          <w:rFonts w:asciiTheme="minorEastAsia" w:eastAsiaTheme="minorEastAsia" w:hAnsiTheme="minorEastAsia" w:hint="eastAsia"/>
          <w:color w:val="333333"/>
          <w:sz w:val="21"/>
          <w:szCs w:val="21"/>
        </w:rPr>
        <w:t xml:space="preserve">　　近年来市民对新能源汽车充电设施的需求增加，为加快及规范物业管理区域内新能源汽车公共充电设施的建设流程，现发布关于室外公共停车场报装新能源汽车充电设施的建设指引，并请有关单位做好以下工作：</w:t>
      </w:r>
    </w:p>
    <w:p w:rsidR="00481AD5" w:rsidRPr="00481AD5" w:rsidRDefault="00481AD5" w:rsidP="00481AD5">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481AD5">
        <w:rPr>
          <w:rFonts w:asciiTheme="minorEastAsia" w:eastAsiaTheme="minorEastAsia" w:hAnsiTheme="minorEastAsia" w:hint="eastAsia"/>
          <w:color w:val="333333"/>
          <w:sz w:val="21"/>
          <w:szCs w:val="21"/>
        </w:rPr>
        <w:t xml:space="preserve">　　一、住宅小区、商业建筑项目的业主委员会、物业服务企业、开发建设单位应推动在地面室外公共停车场加装新能源汽车公共充电设施，满足业主、周边用户充电需求。</w:t>
      </w:r>
    </w:p>
    <w:p w:rsidR="00481AD5" w:rsidRPr="00481AD5" w:rsidRDefault="00481AD5" w:rsidP="00481AD5">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481AD5">
        <w:rPr>
          <w:rFonts w:asciiTheme="minorEastAsia" w:eastAsiaTheme="minorEastAsia" w:hAnsiTheme="minorEastAsia" w:hint="eastAsia"/>
          <w:color w:val="333333"/>
          <w:sz w:val="21"/>
          <w:szCs w:val="21"/>
        </w:rPr>
        <w:t xml:space="preserve">　　二、汽车充电设施应由有电动汽车充电基础设施运营或电动汽车充换电服务资格的企业按附件要求进行报装。</w:t>
      </w:r>
    </w:p>
    <w:p w:rsidR="00481AD5" w:rsidRPr="00481AD5" w:rsidRDefault="00481AD5" w:rsidP="00481AD5">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481AD5">
        <w:rPr>
          <w:rFonts w:asciiTheme="minorEastAsia" w:eastAsiaTheme="minorEastAsia" w:hAnsiTheme="minorEastAsia" w:hint="eastAsia"/>
          <w:color w:val="333333"/>
          <w:sz w:val="21"/>
          <w:szCs w:val="21"/>
        </w:rPr>
        <w:t xml:space="preserve">　　三、充电设施运营企业应定期对充电设施及受电线路进行安全检查、维修保养，若因充电设施运营企业管理维护不当等造成安全事故，由其承担相应责任。物业服务企业应对运营企业做好督促工作。</w:t>
      </w:r>
    </w:p>
    <w:p w:rsidR="00481AD5" w:rsidRPr="00481AD5" w:rsidRDefault="00481AD5" w:rsidP="00481AD5">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481AD5">
        <w:rPr>
          <w:rFonts w:asciiTheme="minorEastAsia" w:eastAsiaTheme="minorEastAsia" w:hAnsiTheme="minorEastAsia" w:hint="eastAsia"/>
          <w:color w:val="333333"/>
          <w:sz w:val="21"/>
          <w:szCs w:val="21"/>
        </w:rPr>
        <w:t xml:space="preserve">　　四、物业服务企业应加强对充电设施周边环境的日常巡查工作。发现安全隐患时，物业服务企业立即设置警示标识及做好安全围闭，并通知运营企业进行维修、整改。</w:t>
      </w:r>
    </w:p>
    <w:p w:rsidR="00481AD5" w:rsidRPr="00481AD5" w:rsidRDefault="00481AD5" w:rsidP="00481AD5">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481AD5">
        <w:rPr>
          <w:rFonts w:asciiTheme="minorEastAsia" w:eastAsiaTheme="minorEastAsia" w:hAnsiTheme="minorEastAsia" w:hint="eastAsia"/>
          <w:color w:val="333333"/>
          <w:sz w:val="21"/>
          <w:szCs w:val="21"/>
        </w:rPr>
        <w:t xml:space="preserve">　　附件：南海区统一建设集中式充电设施报装要求</w:t>
      </w:r>
    </w:p>
    <w:p w:rsidR="00481AD5" w:rsidRPr="00481AD5" w:rsidRDefault="00481AD5" w:rsidP="00481AD5">
      <w:pPr>
        <w:pStyle w:val="a5"/>
        <w:shd w:val="clear" w:color="auto" w:fill="FFFFFF"/>
        <w:spacing w:before="225" w:beforeAutospacing="0" w:after="225" w:afterAutospacing="0" w:line="360" w:lineRule="auto"/>
        <w:jc w:val="right"/>
        <w:rPr>
          <w:rFonts w:asciiTheme="minorEastAsia" w:eastAsiaTheme="minorEastAsia" w:hAnsiTheme="minorEastAsia" w:hint="eastAsia"/>
          <w:color w:val="333333"/>
          <w:sz w:val="21"/>
          <w:szCs w:val="21"/>
        </w:rPr>
      </w:pPr>
      <w:r w:rsidRPr="00481AD5">
        <w:rPr>
          <w:rFonts w:asciiTheme="minorEastAsia" w:eastAsiaTheme="minorEastAsia" w:hAnsiTheme="minorEastAsia" w:hint="eastAsia"/>
          <w:color w:val="333333"/>
          <w:sz w:val="21"/>
          <w:szCs w:val="21"/>
        </w:rPr>
        <w:t xml:space="preserve">　　佛山市南海区住房城乡         广东电网有限责任公司</w:t>
      </w:r>
    </w:p>
    <w:p w:rsidR="00481AD5" w:rsidRPr="00481AD5" w:rsidRDefault="00481AD5" w:rsidP="00481AD5">
      <w:pPr>
        <w:pStyle w:val="a5"/>
        <w:shd w:val="clear" w:color="auto" w:fill="FFFFFF"/>
        <w:spacing w:before="225" w:beforeAutospacing="0" w:after="225" w:afterAutospacing="0" w:line="360" w:lineRule="auto"/>
        <w:jc w:val="right"/>
        <w:rPr>
          <w:rFonts w:asciiTheme="minorEastAsia" w:eastAsiaTheme="minorEastAsia" w:hAnsiTheme="minorEastAsia" w:hint="eastAsia"/>
          <w:color w:val="333333"/>
          <w:sz w:val="21"/>
          <w:szCs w:val="21"/>
        </w:rPr>
      </w:pPr>
      <w:r w:rsidRPr="00481AD5">
        <w:rPr>
          <w:rFonts w:asciiTheme="minorEastAsia" w:eastAsiaTheme="minorEastAsia" w:hAnsiTheme="minorEastAsia" w:hint="eastAsia"/>
          <w:color w:val="333333"/>
          <w:sz w:val="21"/>
          <w:szCs w:val="21"/>
        </w:rPr>
        <w:t xml:space="preserve">　　建设和水利局               佛山南海供电局</w:t>
      </w:r>
    </w:p>
    <w:p w:rsidR="00481AD5" w:rsidRDefault="00481AD5" w:rsidP="00481AD5">
      <w:pPr>
        <w:pStyle w:val="a5"/>
        <w:shd w:val="clear" w:color="auto" w:fill="FFFFFF"/>
        <w:spacing w:before="225" w:beforeAutospacing="0" w:after="225" w:afterAutospacing="0" w:line="360" w:lineRule="auto"/>
        <w:jc w:val="right"/>
        <w:rPr>
          <w:rFonts w:asciiTheme="minorEastAsia" w:eastAsiaTheme="minorEastAsia" w:hAnsiTheme="minorEastAsia" w:hint="eastAsia"/>
          <w:color w:val="333333"/>
          <w:sz w:val="21"/>
          <w:szCs w:val="21"/>
        </w:rPr>
      </w:pPr>
      <w:r w:rsidRPr="00481AD5">
        <w:rPr>
          <w:rFonts w:asciiTheme="minorEastAsia" w:eastAsiaTheme="minorEastAsia" w:hAnsiTheme="minorEastAsia" w:hint="eastAsia"/>
          <w:color w:val="333333"/>
          <w:sz w:val="21"/>
          <w:szCs w:val="21"/>
        </w:rPr>
        <w:t xml:space="preserve">　　2022年4月20日</w:t>
      </w:r>
    </w:p>
    <w:p w:rsidR="00481AD5" w:rsidRPr="00481AD5" w:rsidRDefault="00481AD5" w:rsidP="00481AD5">
      <w:pPr>
        <w:pStyle w:val="a5"/>
        <w:shd w:val="clear" w:color="auto" w:fill="FFFFFF"/>
        <w:spacing w:before="225" w:beforeAutospacing="0" w:after="225" w:afterAutospacing="0" w:line="360" w:lineRule="auto"/>
        <w:jc w:val="right"/>
        <w:rPr>
          <w:rFonts w:asciiTheme="minorEastAsia" w:eastAsiaTheme="minorEastAsia" w:hAnsiTheme="minorEastAsia" w:hint="eastAsia"/>
          <w:color w:val="333333"/>
          <w:sz w:val="21"/>
          <w:szCs w:val="21"/>
        </w:rPr>
      </w:pPr>
    </w:p>
    <w:p w:rsidR="00481AD5" w:rsidRPr="00481AD5" w:rsidRDefault="00481AD5" w:rsidP="00481AD5">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481AD5">
        <w:rPr>
          <w:rFonts w:asciiTheme="minorEastAsia" w:eastAsiaTheme="minorEastAsia" w:hAnsiTheme="minorEastAsia" w:hint="eastAsia"/>
          <w:color w:val="333333"/>
          <w:sz w:val="21"/>
          <w:szCs w:val="21"/>
        </w:rPr>
        <w:lastRenderedPageBreak/>
        <w:t xml:space="preserve">　　附件</w:t>
      </w:r>
    </w:p>
    <w:p w:rsidR="00481AD5" w:rsidRPr="00481AD5" w:rsidRDefault="00481AD5" w:rsidP="00481AD5">
      <w:pPr>
        <w:pStyle w:val="a5"/>
        <w:shd w:val="clear" w:color="auto" w:fill="FFFFFF"/>
        <w:spacing w:before="225" w:beforeAutospacing="0" w:after="225" w:afterAutospacing="0" w:line="360" w:lineRule="auto"/>
        <w:jc w:val="center"/>
        <w:rPr>
          <w:rFonts w:asciiTheme="minorEastAsia" w:eastAsiaTheme="minorEastAsia" w:hAnsiTheme="minorEastAsia" w:hint="eastAsia"/>
          <w:color w:val="333333"/>
          <w:sz w:val="21"/>
          <w:szCs w:val="21"/>
        </w:rPr>
      </w:pPr>
      <w:r w:rsidRPr="00481AD5">
        <w:rPr>
          <w:rFonts w:asciiTheme="minorEastAsia" w:eastAsiaTheme="minorEastAsia" w:hAnsiTheme="minorEastAsia" w:hint="eastAsia"/>
          <w:color w:val="333333"/>
          <w:sz w:val="21"/>
          <w:szCs w:val="21"/>
        </w:rPr>
        <w:t xml:space="preserve">　</w:t>
      </w:r>
      <w:r w:rsidRPr="00481AD5">
        <w:rPr>
          <w:rStyle w:val="a6"/>
          <w:rFonts w:asciiTheme="minorEastAsia" w:eastAsiaTheme="minorEastAsia" w:hAnsiTheme="minorEastAsia" w:hint="eastAsia"/>
          <w:color w:val="333333"/>
          <w:sz w:val="21"/>
          <w:szCs w:val="21"/>
        </w:rPr>
        <w:t xml:space="preserve">　南海区统一建设集中式充电设施报装要求</w:t>
      </w:r>
    </w:p>
    <w:p w:rsidR="00481AD5" w:rsidRPr="00481AD5" w:rsidRDefault="00481AD5" w:rsidP="00481AD5">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481AD5">
        <w:rPr>
          <w:rStyle w:val="a6"/>
          <w:rFonts w:asciiTheme="minorEastAsia" w:eastAsiaTheme="minorEastAsia" w:hAnsiTheme="minorEastAsia" w:hint="eastAsia"/>
          <w:color w:val="333333"/>
          <w:sz w:val="21"/>
          <w:szCs w:val="21"/>
        </w:rPr>
        <w:t xml:space="preserve">　　一、报装主体：</w:t>
      </w:r>
      <w:r w:rsidRPr="00481AD5">
        <w:rPr>
          <w:rFonts w:asciiTheme="minorEastAsia" w:eastAsiaTheme="minorEastAsia" w:hAnsiTheme="minorEastAsia" w:hint="eastAsia"/>
          <w:color w:val="333333"/>
          <w:sz w:val="21"/>
          <w:szCs w:val="21"/>
        </w:rPr>
        <w:t>有电动汽车充电基础设施运营或电动汽车充换电服务资格的企业。</w:t>
      </w:r>
    </w:p>
    <w:p w:rsidR="00481AD5" w:rsidRPr="00481AD5" w:rsidRDefault="00481AD5" w:rsidP="00481AD5">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481AD5">
        <w:rPr>
          <w:rStyle w:val="a6"/>
          <w:rFonts w:asciiTheme="minorEastAsia" w:eastAsiaTheme="minorEastAsia" w:hAnsiTheme="minorEastAsia" w:hint="eastAsia"/>
          <w:color w:val="333333"/>
          <w:sz w:val="21"/>
          <w:szCs w:val="21"/>
        </w:rPr>
        <w:t xml:space="preserve">　　二、报装容量：</w:t>
      </w:r>
      <w:r w:rsidRPr="00481AD5">
        <w:rPr>
          <w:rFonts w:asciiTheme="minorEastAsia" w:eastAsiaTheme="minorEastAsia" w:hAnsiTheme="minorEastAsia" w:hint="eastAsia"/>
          <w:color w:val="333333"/>
          <w:sz w:val="21"/>
          <w:szCs w:val="21"/>
        </w:rPr>
        <w:t>低压供电的不超过200kW，如条件允许可考虑以专变形式报装。</w:t>
      </w:r>
    </w:p>
    <w:p w:rsidR="00481AD5" w:rsidRPr="00481AD5" w:rsidRDefault="00481AD5" w:rsidP="00481AD5">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481AD5">
        <w:rPr>
          <w:rStyle w:val="a6"/>
          <w:rFonts w:asciiTheme="minorEastAsia" w:eastAsiaTheme="minorEastAsia" w:hAnsiTheme="minorEastAsia" w:hint="eastAsia"/>
          <w:color w:val="333333"/>
          <w:sz w:val="21"/>
          <w:szCs w:val="21"/>
        </w:rPr>
        <w:t xml:space="preserve">　　三、报装资料：</w:t>
      </w:r>
    </w:p>
    <w:p w:rsidR="00481AD5" w:rsidRPr="00481AD5" w:rsidRDefault="00481AD5" w:rsidP="00481AD5">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481AD5">
        <w:rPr>
          <w:rFonts w:asciiTheme="minorEastAsia" w:eastAsiaTheme="minorEastAsia" w:hAnsiTheme="minorEastAsia" w:hint="eastAsia"/>
          <w:color w:val="333333"/>
          <w:sz w:val="21"/>
          <w:szCs w:val="21"/>
        </w:rPr>
        <w:t xml:space="preserve">　　（一）企业法人身份证明材料，复印件1份。</w:t>
      </w:r>
    </w:p>
    <w:p w:rsidR="00481AD5" w:rsidRPr="00481AD5" w:rsidRDefault="00481AD5" w:rsidP="00481AD5">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481AD5">
        <w:rPr>
          <w:rFonts w:asciiTheme="minorEastAsia" w:eastAsiaTheme="minorEastAsia" w:hAnsiTheme="minorEastAsia" w:hint="eastAsia"/>
          <w:color w:val="333333"/>
          <w:sz w:val="21"/>
          <w:szCs w:val="21"/>
        </w:rPr>
        <w:t xml:space="preserve">　　（二）企业营业执照，复印件1份。</w:t>
      </w:r>
    </w:p>
    <w:p w:rsidR="00481AD5" w:rsidRPr="00481AD5" w:rsidRDefault="00481AD5" w:rsidP="00481AD5">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481AD5">
        <w:rPr>
          <w:rFonts w:asciiTheme="minorEastAsia" w:eastAsiaTheme="minorEastAsia" w:hAnsiTheme="minorEastAsia" w:hint="eastAsia"/>
          <w:color w:val="333333"/>
          <w:sz w:val="21"/>
          <w:szCs w:val="21"/>
        </w:rPr>
        <w:t xml:space="preserve">　　（三）公共区域车位的物业权属证明材料，或提供业主委员会、物业委员会或者物业管理公司出具的车位使用权（使用权一年及以上）证明文件。如车位为充换电服务企业租用，则提供租赁关系的证明文件（租赁合同）载明使用权需在一年及以上。原件或复印件1份。</w:t>
      </w:r>
    </w:p>
    <w:p w:rsidR="00481AD5" w:rsidRPr="00481AD5" w:rsidRDefault="00481AD5" w:rsidP="00481AD5">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481AD5">
        <w:rPr>
          <w:rFonts w:asciiTheme="minorEastAsia" w:eastAsiaTheme="minorEastAsia" w:hAnsiTheme="minorEastAsia" w:hint="eastAsia"/>
          <w:color w:val="333333"/>
          <w:sz w:val="21"/>
          <w:szCs w:val="21"/>
        </w:rPr>
        <w:t xml:space="preserve">　　（四）经业主委员会或物业管理公司出具的充电基础设施建设同意书，原件1份。</w:t>
      </w:r>
    </w:p>
    <w:p w:rsidR="00481AD5" w:rsidRPr="00481AD5" w:rsidRDefault="00481AD5" w:rsidP="00481AD5">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481AD5">
        <w:rPr>
          <w:rFonts w:asciiTheme="minorEastAsia" w:eastAsiaTheme="minorEastAsia" w:hAnsiTheme="minorEastAsia" w:hint="eastAsia"/>
          <w:color w:val="333333"/>
          <w:sz w:val="21"/>
          <w:szCs w:val="21"/>
        </w:rPr>
        <w:t xml:space="preserve">　　以上材料如为复印件的，需要提供原件核对并加盖公章。具体提交材料也可咨询现场勘察工作人员。</w:t>
      </w:r>
    </w:p>
    <w:p w:rsidR="00481AD5" w:rsidRPr="00481AD5" w:rsidRDefault="00481AD5" w:rsidP="00481AD5">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481AD5">
        <w:rPr>
          <w:rStyle w:val="a6"/>
          <w:rFonts w:asciiTheme="minorEastAsia" w:eastAsiaTheme="minorEastAsia" w:hAnsiTheme="minorEastAsia" w:hint="eastAsia"/>
          <w:color w:val="333333"/>
          <w:sz w:val="21"/>
          <w:szCs w:val="21"/>
        </w:rPr>
        <w:t xml:space="preserve">　　四、报装渠道：</w:t>
      </w:r>
      <w:r w:rsidRPr="00481AD5">
        <w:rPr>
          <w:rFonts w:asciiTheme="minorEastAsia" w:eastAsiaTheme="minorEastAsia" w:hAnsiTheme="minorEastAsia" w:hint="eastAsia"/>
          <w:color w:val="333333"/>
          <w:sz w:val="21"/>
          <w:szCs w:val="21"/>
        </w:rPr>
        <w:t>南方电网95598微信公众号/南网在线APP、各镇（街道）供电营业厅/行政服务中心。</w:t>
      </w:r>
    </w:p>
    <w:p w:rsidR="00481AD5" w:rsidRPr="00481AD5" w:rsidRDefault="00481AD5" w:rsidP="00481AD5">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481AD5">
        <w:rPr>
          <w:rStyle w:val="a6"/>
          <w:rFonts w:asciiTheme="minorEastAsia" w:eastAsiaTheme="minorEastAsia" w:hAnsiTheme="minorEastAsia" w:hint="eastAsia"/>
          <w:color w:val="333333"/>
          <w:sz w:val="21"/>
          <w:szCs w:val="21"/>
        </w:rPr>
        <w:t xml:space="preserve">　　五、咨询电话：</w:t>
      </w:r>
      <w:r w:rsidRPr="00481AD5">
        <w:rPr>
          <w:rFonts w:asciiTheme="minorEastAsia" w:eastAsiaTheme="minorEastAsia" w:hAnsiTheme="minorEastAsia" w:hint="eastAsia"/>
          <w:color w:val="333333"/>
          <w:sz w:val="21"/>
          <w:szCs w:val="21"/>
        </w:rPr>
        <w:t>95598。</w:t>
      </w:r>
    </w:p>
    <w:p w:rsidR="00481AD5" w:rsidRPr="00481AD5" w:rsidRDefault="00481AD5" w:rsidP="00481AD5">
      <w:pPr>
        <w:spacing w:line="360" w:lineRule="auto"/>
        <w:rPr>
          <w:rFonts w:asciiTheme="minorEastAsia" w:hAnsiTheme="minorEastAsia" w:hint="eastAsia"/>
          <w:b/>
          <w:szCs w:val="21"/>
        </w:rPr>
      </w:pPr>
    </w:p>
    <w:p w:rsidR="00481AD5" w:rsidRPr="00481AD5" w:rsidRDefault="00481AD5"/>
    <w:sectPr w:rsidR="00481AD5" w:rsidRPr="00481AD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34D5" w:rsidRDefault="000734D5" w:rsidP="00481AD5">
      <w:r>
        <w:separator/>
      </w:r>
    </w:p>
  </w:endnote>
  <w:endnote w:type="continuationSeparator" w:id="1">
    <w:p w:rsidR="000734D5" w:rsidRDefault="000734D5" w:rsidP="00481AD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34D5" w:rsidRDefault="000734D5" w:rsidP="00481AD5">
      <w:r>
        <w:separator/>
      </w:r>
    </w:p>
  </w:footnote>
  <w:footnote w:type="continuationSeparator" w:id="1">
    <w:p w:rsidR="000734D5" w:rsidRDefault="000734D5" w:rsidP="00481AD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81AD5"/>
    <w:rsid w:val="000734D5"/>
    <w:rsid w:val="00481AD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481AD5"/>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81AD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81AD5"/>
    <w:rPr>
      <w:sz w:val="18"/>
      <w:szCs w:val="18"/>
    </w:rPr>
  </w:style>
  <w:style w:type="paragraph" w:styleId="a4">
    <w:name w:val="footer"/>
    <w:basedOn w:val="a"/>
    <w:link w:val="Char0"/>
    <w:uiPriority w:val="99"/>
    <w:semiHidden/>
    <w:unhideWhenUsed/>
    <w:rsid w:val="00481AD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81AD5"/>
    <w:rPr>
      <w:sz w:val="18"/>
      <w:szCs w:val="18"/>
    </w:rPr>
  </w:style>
  <w:style w:type="character" w:customStyle="1" w:styleId="1Char">
    <w:name w:val="标题 1 Char"/>
    <w:basedOn w:val="a0"/>
    <w:link w:val="1"/>
    <w:uiPriority w:val="9"/>
    <w:rsid w:val="00481AD5"/>
    <w:rPr>
      <w:rFonts w:ascii="宋体" w:eastAsia="宋体" w:hAnsi="宋体" w:cs="宋体"/>
      <w:b/>
      <w:bCs/>
      <w:kern w:val="36"/>
      <w:sz w:val="48"/>
      <w:szCs w:val="48"/>
    </w:rPr>
  </w:style>
  <w:style w:type="paragraph" w:styleId="a5">
    <w:name w:val="Normal (Web)"/>
    <w:basedOn w:val="a"/>
    <w:uiPriority w:val="99"/>
    <w:semiHidden/>
    <w:unhideWhenUsed/>
    <w:rsid w:val="00481AD5"/>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481AD5"/>
    <w:rPr>
      <w:b/>
      <w:bCs/>
    </w:rPr>
  </w:style>
  <w:style w:type="paragraph" w:styleId="a7">
    <w:name w:val="Date"/>
    <w:basedOn w:val="a"/>
    <w:next w:val="a"/>
    <w:link w:val="Char1"/>
    <w:uiPriority w:val="99"/>
    <w:semiHidden/>
    <w:unhideWhenUsed/>
    <w:rsid w:val="00481AD5"/>
    <w:pPr>
      <w:ind w:leftChars="2500" w:left="100"/>
    </w:pPr>
  </w:style>
  <w:style w:type="character" w:customStyle="1" w:styleId="Char1">
    <w:name w:val="日期 Char"/>
    <w:basedOn w:val="a0"/>
    <w:link w:val="a7"/>
    <w:uiPriority w:val="99"/>
    <w:semiHidden/>
    <w:rsid w:val="00481AD5"/>
  </w:style>
</w:styles>
</file>

<file path=word/webSettings.xml><?xml version="1.0" encoding="utf-8"?>
<w:webSettings xmlns:r="http://schemas.openxmlformats.org/officeDocument/2006/relationships" xmlns:w="http://schemas.openxmlformats.org/wordprocessingml/2006/main">
  <w:divs>
    <w:div w:id="998655296">
      <w:bodyDiv w:val="1"/>
      <w:marLeft w:val="0"/>
      <w:marRight w:val="0"/>
      <w:marTop w:val="0"/>
      <w:marBottom w:val="0"/>
      <w:divBdr>
        <w:top w:val="none" w:sz="0" w:space="0" w:color="auto"/>
        <w:left w:val="none" w:sz="0" w:space="0" w:color="auto"/>
        <w:bottom w:val="none" w:sz="0" w:space="0" w:color="auto"/>
        <w:right w:val="none" w:sz="0" w:space="0" w:color="auto"/>
      </w:divBdr>
    </w:div>
    <w:div w:id="1858083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153</Words>
  <Characters>875</Characters>
  <Application>Microsoft Office Word</Application>
  <DocSecurity>0</DocSecurity>
  <Lines>7</Lines>
  <Paragraphs>2</Paragraphs>
  <ScaleCrop>false</ScaleCrop>
  <Company>Regaltec</Company>
  <LinksUpToDate>false</LinksUpToDate>
  <CharactersWithSpaces>1026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2022-04-24T02:06:00Z</dcterms:created>
  <dcterms:modified xsi:type="dcterms:W3CDTF">2022-04-24T02:07:00Z</dcterms:modified>
</cp:coreProperties>
</file>