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C32" w:rsidRPr="00396C32" w:rsidRDefault="00396C32" w:rsidP="00396C32">
      <w:pPr>
        <w:widowControl/>
        <w:shd w:val="clear" w:color="auto" w:fill="FFFFFF"/>
        <w:spacing w:line="360" w:lineRule="auto"/>
        <w:jc w:val="center"/>
        <w:outlineLvl w:val="0"/>
        <w:rPr>
          <w:rFonts w:asciiTheme="minorEastAsia" w:hAnsiTheme="minorEastAsia" w:cs="宋体"/>
          <w:b/>
          <w:color w:val="0E59A4"/>
          <w:kern w:val="36"/>
          <w:sz w:val="32"/>
          <w:szCs w:val="32"/>
        </w:rPr>
      </w:pPr>
      <w:r w:rsidRPr="00396C32">
        <w:rPr>
          <w:rFonts w:asciiTheme="minorEastAsia" w:hAnsiTheme="minorEastAsia" w:cs="宋体" w:hint="eastAsia"/>
          <w:b/>
          <w:color w:val="0E59A4"/>
          <w:kern w:val="36"/>
          <w:sz w:val="32"/>
          <w:szCs w:val="32"/>
        </w:rPr>
        <w:t>佛山市南海区住房城乡建设和水利局关于开展南海区2021年度民用建筑能源资源消耗统计调查的通知</w:t>
      </w:r>
    </w:p>
    <w:p w:rsidR="00000000" w:rsidRDefault="0078604E" w:rsidP="00396C32">
      <w:pPr>
        <w:spacing w:line="360" w:lineRule="auto"/>
      </w:pP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color w:val="333333"/>
        </w:rPr>
      </w:pPr>
      <w:r w:rsidRPr="00396C32">
        <w:rPr>
          <w:rFonts w:asciiTheme="minorEastAsia" w:eastAsiaTheme="minorEastAsia" w:hAnsiTheme="minorEastAsia" w:hint="eastAsia"/>
          <w:color w:val="333333"/>
        </w:rPr>
        <w:t>各镇人民政府、街道办事处，各有关单位：</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Fonts w:asciiTheme="minorEastAsia" w:eastAsiaTheme="minorEastAsia" w:hAnsiTheme="minorEastAsia" w:hint="eastAsia"/>
          <w:color w:val="333333"/>
        </w:rPr>
        <w:t xml:space="preserve">　　根据《佛山市住房和城乡建设局转发关于开展2021年度全国民用建筑能源资源消耗统计调查的通知》（佛建发〔2022〕128号）要求，我局定于2022年6月上旬开展相关统计调查工作。具体通知如下：</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Fonts w:asciiTheme="minorEastAsia" w:eastAsiaTheme="minorEastAsia" w:hAnsiTheme="minorEastAsia" w:hint="eastAsia"/>
          <w:color w:val="333333"/>
        </w:rPr>
        <w:t xml:space="preserve">　　一、统计的目的和意义</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Fonts w:asciiTheme="minorEastAsia" w:eastAsiaTheme="minorEastAsia" w:hAnsiTheme="minorEastAsia" w:hint="eastAsia"/>
          <w:color w:val="333333"/>
        </w:rPr>
        <w:t xml:space="preserve">　　能源资源消耗统计工作是落实国家“双碳”政策的重要基础，开展民用建筑能源资源消耗统计工作是有效推进南海区建筑节能工作的需要。通过指导和规范全区的建筑能源资源消耗统计工作，尽快建立建筑能源资源消耗统计平台和能源资源消耗数据采集体系，统计出比较准确的建筑能源资源消耗数据，全面掌握我区建筑能源资源消耗的实际状况，为建筑节能工作决策提供数据依据。</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Fonts w:asciiTheme="minorEastAsia" w:eastAsiaTheme="minorEastAsia" w:hAnsiTheme="minorEastAsia" w:hint="eastAsia"/>
          <w:color w:val="333333"/>
        </w:rPr>
        <w:t xml:space="preserve">　　二、统计数据</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Style w:val="a6"/>
          <w:rFonts w:asciiTheme="minorEastAsia" w:eastAsiaTheme="minorEastAsia" w:hAnsiTheme="minorEastAsia" w:hint="eastAsia"/>
          <w:color w:val="333333"/>
        </w:rPr>
        <w:t xml:space="preserve">　　（一）能源消耗数据</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Fonts w:asciiTheme="minorEastAsia" w:eastAsiaTheme="minorEastAsia" w:hAnsiTheme="minorEastAsia" w:hint="eastAsia"/>
          <w:color w:val="333333"/>
        </w:rPr>
        <w:t xml:space="preserve">　　主要统计民用建筑2021年度能源消耗量。建筑能源消耗是指在建筑使用过程中，为满足民用建筑内人员活动的能源消耗，包括维持建筑环境（如采暖、通风、空调和照明灯）和各类建筑内活动（如办公、炊事等）的能源消耗。能源按种类分为电力、煤炭、天然气、液化石油气、人工煤气和其他能源（包括集中供冷耗冷量、生物质能等）。同时，统计可再生能源（太阳能热水系统、太阳能光伏发电系统、浅层与中深层地热能利用系统）在建筑中的应用量。</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Style w:val="a6"/>
          <w:rFonts w:asciiTheme="minorEastAsia" w:eastAsiaTheme="minorEastAsia" w:hAnsiTheme="minorEastAsia" w:hint="eastAsia"/>
          <w:color w:val="333333"/>
        </w:rPr>
        <w:t xml:space="preserve">　　（二）水资源消耗数据</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Fonts w:asciiTheme="minorEastAsia" w:eastAsiaTheme="minorEastAsia" w:hAnsiTheme="minorEastAsia" w:hint="eastAsia"/>
          <w:color w:val="333333"/>
        </w:rPr>
        <w:t xml:space="preserve">　　主要统计民用建筑2021年度水资源消耗量。建筑自来水消耗量，分为居民家庭用水和公共服务用水。居民家庭用水指城市范围内所有居民家庭的日常生活用水；公共服务用水指为城区社会公共生活服务的用水，包括行政事业单位、部</w:t>
      </w:r>
      <w:r w:rsidRPr="00396C32">
        <w:rPr>
          <w:rFonts w:asciiTheme="minorEastAsia" w:eastAsiaTheme="minorEastAsia" w:hAnsiTheme="minorEastAsia" w:hint="eastAsia"/>
          <w:color w:val="333333"/>
        </w:rPr>
        <w:lastRenderedPageBreak/>
        <w:t>队营区和公共设施服务、社会服务业、批发零售贸易业、旅馆饮食业以及社会服务业等单位的用水。</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Fonts w:asciiTheme="minorEastAsia" w:eastAsiaTheme="minorEastAsia" w:hAnsiTheme="minorEastAsia" w:hint="eastAsia"/>
          <w:color w:val="333333"/>
        </w:rPr>
        <w:t xml:space="preserve">　　三、统计调查对象和范围</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Fonts w:asciiTheme="minorEastAsia" w:eastAsiaTheme="minorEastAsia" w:hAnsiTheme="minorEastAsia" w:hint="eastAsia"/>
          <w:color w:val="333333"/>
        </w:rPr>
        <w:t xml:space="preserve">　　本次统计的建筑对象分为五大类，包括国家机关办公建筑、大型公共建筑、中小型公共建筑、城镇居住建筑和行政村居住建筑。其中，公共建筑是指供人们进行各种公共活动的建筑，分为写字楼建筑、商场建筑、宾馆饭店建筑、医疗卫生建筑、文化教育建筑、交通枢纽类建筑和其他建筑七类。</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Style w:val="a6"/>
          <w:rFonts w:asciiTheme="minorEastAsia" w:eastAsiaTheme="minorEastAsia" w:hAnsiTheme="minorEastAsia" w:hint="eastAsia"/>
          <w:color w:val="333333"/>
        </w:rPr>
        <w:t xml:space="preserve">　　（一）全面统计对象</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Fonts w:asciiTheme="minorEastAsia" w:eastAsiaTheme="minorEastAsia" w:hAnsiTheme="minorEastAsia" w:hint="eastAsia"/>
          <w:color w:val="333333"/>
        </w:rPr>
        <w:t xml:space="preserve">　　1.国家机关办公建筑：由政府财政资金建设、国家机关事务管理机构管理的办公建筑。根据《民用建筑能源资源消耗统计调查制度》，本调查只对建筑面积在3000平方米以上（含3000平方米）的政府机关办公建筑进行统计调查。</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Fonts w:asciiTheme="minorEastAsia" w:eastAsiaTheme="minorEastAsia" w:hAnsiTheme="minorEastAsia" w:hint="eastAsia"/>
          <w:color w:val="333333"/>
        </w:rPr>
        <w:t xml:space="preserve">　　2.大型公共建筑：单体建筑面积大于2万平方米的公共建筑。</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Style w:val="a6"/>
          <w:rFonts w:asciiTheme="minorEastAsia" w:eastAsiaTheme="minorEastAsia" w:hAnsiTheme="minorEastAsia" w:hint="eastAsia"/>
          <w:color w:val="333333"/>
        </w:rPr>
        <w:t xml:space="preserve">　　（二）重点调查统计对象</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Fonts w:asciiTheme="minorEastAsia" w:eastAsiaTheme="minorEastAsia" w:hAnsiTheme="minorEastAsia" w:hint="eastAsia"/>
          <w:color w:val="333333"/>
        </w:rPr>
        <w:t xml:space="preserve">　　1.中小型公共建筑：单体建筑面积小于（含2万平方米）的公共建筑。</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Fonts w:asciiTheme="minorEastAsia" w:eastAsiaTheme="minorEastAsia" w:hAnsiTheme="minorEastAsia" w:hint="eastAsia"/>
          <w:color w:val="333333"/>
        </w:rPr>
        <w:t xml:space="preserve">　　2.城镇居住建筑：城镇范围内供人们居住使用的建筑。包括住宅、集体宿舍、公寓等。</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Fonts w:asciiTheme="minorEastAsia" w:eastAsiaTheme="minorEastAsia" w:hAnsiTheme="minorEastAsia" w:hint="eastAsia"/>
          <w:color w:val="333333"/>
        </w:rPr>
        <w:t xml:space="preserve">　　3.行政村居住建筑：供乡村家庭居住使用的建筑，特指一楼一户形态的乡村居住建筑，不包括新乡村上楼建筑。</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Fonts w:asciiTheme="minorEastAsia" w:eastAsiaTheme="minorEastAsia" w:hAnsiTheme="minorEastAsia" w:hint="eastAsia"/>
          <w:color w:val="333333"/>
        </w:rPr>
        <w:t xml:space="preserve">　　四、工作安排</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Fonts w:asciiTheme="minorEastAsia" w:eastAsiaTheme="minorEastAsia" w:hAnsiTheme="minorEastAsia" w:hint="eastAsia"/>
          <w:color w:val="333333"/>
        </w:rPr>
        <w:t xml:space="preserve">　　（一）区各有关单位、各镇（街道）（下属部门和有关企业）填报3000平方米以上（含3000平方米）的政府机关办公建筑和大型公共建筑的能源资源消耗数据相关资料。</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Fonts w:asciiTheme="minorEastAsia" w:eastAsiaTheme="minorEastAsia" w:hAnsiTheme="minorEastAsia" w:hint="eastAsia"/>
          <w:color w:val="333333"/>
        </w:rPr>
        <w:t xml:space="preserve">　　（二）区物业协会组织区内物业公司填报居住建筑、中小型公共建筑、大型公共建筑的能源资源消耗数据相关资料。</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Fonts w:asciiTheme="minorEastAsia" w:eastAsiaTheme="minorEastAsia" w:hAnsiTheme="minorEastAsia" w:hint="eastAsia"/>
          <w:color w:val="333333"/>
        </w:rPr>
        <w:t xml:space="preserve">　　（三）九江镇组织两个行政村填报能源资源消耗数据相关资料。</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Fonts w:asciiTheme="minorEastAsia" w:eastAsiaTheme="minorEastAsia" w:hAnsiTheme="minorEastAsia" w:hint="eastAsia"/>
          <w:color w:val="333333"/>
        </w:rPr>
        <w:t xml:space="preserve">　　（四）建筑能源资源消耗数据相关资料包括《统计对象汇总名单》《城镇民用建筑能源资源消耗信息统计表格及填表说明》（一栋建筑物一张表）、《乡村居住建筑能源资源消耗信息统计表格及填表说明》（一栋一户建一张表）、相关证明材料，具体详见附件2至5。</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Fonts w:asciiTheme="minorEastAsia" w:eastAsiaTheme="minorEastAsia" w:hAnsiTheme="minorEastAsia" w:hint="eastAsia"/>
          <w:color w:val="333333"/>
        </w:rPr>
        <w:t xml:space="preserve">　　（五）区各有关单位、各镇（街道）负责收集、汇总本单位及下属部门、有关企业填报的能源资源消耗数据相关资料，并于2022年6月20日上午下班前将附件2至4的word版和盖章版、相关证明材料发至jsj_sheji@nanhai.gov.cn。</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Fonts w:asciiTheme="minorEastAsia" w:eastAsiaTheme="minorEastAsia" w:hAnsiTheme="minorEastAsia" w:hint="eastAsia"/>
          <w:color w:val="333333"/>
        </w:rPr>
        <w:t xml:space="preserve">　　（六）本次统计由广东省建筑科学研究院集团有限公司（简称省建科院）作为技术支持单位，请各单位在统计调查过程中给予大力支持。</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Fonts w:asciiTheme="minorEastAsia" w:eastAsiaTheme="minorEastAsia" w:hAnsiTheme="minorEastAsia" w:hint="eastAsia"/>
          <w:color w:val="333333"/>
        </w:rPr>
        <w:t xml:space="preserve">　　五、工作要求</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Fonts w:asciiTheme="minorEastAsia" w:eastAsiaTheme="minorEastAsia" w:hAnsiTheme="minorEastAsia" w:hint="eastAsia"/>
          <w:color w:val="333333"/>
        </w:rPr>
        <w:t xml:space="preserve">　　（一）本次统计调查由国家有关部委发起，请区各有关单位、各镇（街道）进一步提高认识，加强领导协调，组织好本单位、下属部门和企业落实填报工作，安排专人跟进。请各单位于2022年6月10日上午下班前将联系人回执（详见附件6）报送至上述电子邮箱。</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Fonts w:asciiTheme="minorEastAsia" w:eastAsiaTheme="minorEastAsia" w:hAnsiTheme="minorEastAsia" w:hint="eastAsia"/>
          <w:color w:val="333333"/>
        </w:rPr>
        <w:t xml:space="preserve">　　（二）区各有关单位、各镇（街道）工作人员要真实、准确、完整、及时的提供统计所需资料，我局将按照一定比例对被统计对象进行数据核实。根据住房和城乡建设部《民用建筑能源资源消耗统计调查制度》要求，本调查应遵守《中华人民共和国统计法》第七条规定：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Fonts w:asciiTheme="minorEastAsia" w:eastAsiaTheme="minorEastAsia" w:hAnsiTheme="minorEastAsia" w:hint="eastAsia"/>
          <w:color w:val="333333"/>
        </w:rPr>
        <w:t xml:space="preserve">　　（三）工作中如有问题可直接与省建科院联系。</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hyperlink r:id="rId6" w:tgtFrame="_blank" w:history="1">
        <w:r w:rsidRPr="00396C32">
          <w:rPr>
            <w:rStyle w:val="a7"/>
            <w:rFonts w:asciiTheme="minorEastAsia" w:eastAsiaTheme="minorEastAsia" w:hAnsiTheme="minorEastAsia" w:hint="eastAsia"/>
            <w:color w:val="333333"/>
          </w:rPr>
          <w:t>附件1：佛山市住房和城乡建设局转发关于开展2021年度全国民用建筑能源资源消耗统计调查的通知.zip</w:t>
        </w:r>
      </w:hyperlink>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hyperlink r:id="rId7" w:tgtFrame="_blank" w:history="1">
        <w:r w:rsidRPr="00396C32">
          <w:rPr>
            <w:rStyle w:val="a7"/>
            <w:rFonts w:asciiTheme="minorEastAsia" w:eastAsiaTheme="minorEastAsia" w:hAnsiTheme="minorEastAsia" w:hint="eastAsia"/>
            <w:color w:val="333333"/>
          </w:rPr>
          <w:t>附件2：统计对象汇总名单.doc</w:t>
        </w:r>
      </w:hyperlink>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hyperlink r:id="rId8" w:tgtFrame="_blank" w:history="1">
        <w:r w:rsidRPr="00396C32">
          <w:rPr>
            <w:rStyle w:val="a7"/>
            <w:rFonts w:asciiTheme="minorEastAsia" w:eastAsiaTheme="minorEastAsia" w:hAnsiTheme="minorEastAsia" w:hint="eastAsia"/>
            <w:color w:val="333333"/>
          </w:rPr>
          <w:t>附件3：城镇民用建筑能源资源消耗信息统计表格及填表说明.doc</w:t>
        </w:r>
      </w:hyperlink>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hyperlink r:id="rId9" w:tgtFrame="_blank" w:history="1">
        <w:r w:rsidRPr="00396C32">
          <w:rPr>
            <w:rStyle w:val="a7"/>
            <w:rFonts w:asciiTheme="minorEastAsia" w:eastAsiaTheme="minorEastAsia" w:hAnsiTheme="minorEastAsia" w:hint="eastAsia"/>
            <w:color w:val="333333"/>
          </w:rPr>
          <w:t>附件4：乡村居住建筑能源资源消耗信息统计表格及填报说明.doc</w:t>
        </w:r>
      </w:hyperlink>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hyperlink r:id="rId10" w:tgtFrame="_blank" w:history="1">
        <w:r w:rsidRPr="00396C32">
          <w:rPr>
            <w:rStyle w:val="a7"/>
            <w:rFonts w:asciiTheme="minorEastAsia" w:eastAsiaTheme="minorEastAsia" w:hAnsiTheme="minorEastAsia" w:hint="eastAsia"/>
            <w:color w:val="333333"/>
          </w:rPr>
          <w:t>附件5：证明材料清单.doc</w:t>
        </w:r>
      </w:hyperlink>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hyperlink r:id="rId11" w:tgtFrame="_blank" w:history="1">
        <w:r w:rsidRPr="00396C32">
          <w:rPr>
            <w:rStyle w:val="a7"/>
            <w:rFonts w:asciiTheme="minorEastAsia" w:eastAsiaTheme="minorEastAsia" w:hAnsiTheme="minorEastAsia" w:hint="eastAsia"/>
            <w:color w:val="333333"/>
          </w:rPr>
          <w:t>附件6：民用建筑能源资源消耗统计调查工作联系人回执.doc</w:t>
        </w:r>
      </w:hyperlink>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p>
    <w:p w:rsidR="00396C32" w:rsidRPr="00396C32" w:rsidRDefault="00396C32" w:rsidP="00396C32">
      <w:pPr>
        <w:pStyle w:val="a5"/>
        <w:shd w:val="clear" w:color="auto" w:fill="FFFFFF"/>
        <w:spacing w:before="188" w:beforeAutospacing="0" w:after="188" w:afterAutospacing="0" w:line="360" w:lineRule="auto"/>
        <w:jc w:val="right"/>
        <w:rPr>
          <w:rFonts w:asciiTheme="minorEastAsia" w:eastAsiaTheme="minorEastAsia" w:hAnsiTheme="minorEastAsia" w:hint="eastAsia"/>
          <w:color w:val="333333"/>
        </w:rPr>
      </w:pPr>
      <w:r w:rsidRPr="00396C32">
        <w:rPr>
          <w:rFonts w:asciiTheme="minorEastAsia" w:eastAsiaTheme="minorEastAsia" w:hAnsiTheme="minorEastAsia" w:hint="eastAsia"/>
          <w:color w:val="333333"/>
        </w:rPr>
        <w:t xml:space="preserve">　　佛山市南海区住房城乡建设和水利局</w:t>
      </w:r>
    </w:p>
    <w:p w:rsidR="00396C32" w:rsidRPr="00396C32" w:rsidRDefault="00396C32" w:rsidP="00396C32">
      <w:pPr>
        <w:pStyle w:val="a5"/>
        <w:shd w:val="clear" w:color="auto" w:fill="FFFFFF"/>
        <w:spacing w:before="188" w:beforeAutospacing="0" w:after="188" w:afterAutospacing="0" w:line="360" w:lineRule="auto"/>
        <w:jc w:val="right"/>
        <w:rPr>
          <w:rFonts w:asciiTheme="minorEastAsia" w:eastAsiaTheme="minorEastAsia" w:hAnsiTheme="minorEastAsia" w:hint="eastAsia"/>
          <w:color w:val="333333"/>
        </w:rPr>
      </w:pPr>
      <w:r w:rsidRPr="00396C32">
        <w:rPr>
          <w:rFonts w:asciiTheme="minorEastAsia" w:eastAsiaTheme="minorEastAsia" w:hAnsiTheme="minorEastAsia" w:hint="eastAsia"/>
          <w:color w:val="333333"/>
        </w:rPr>
        <w:t xml:space="preserve">　　2022年6月1日</w:t>
      </w:r>
    </w:p>
    <w:p w:rsidR="00396C32" w:rsidRPr="00396C32" w:rsidRDefault="00396C32" w:rsidP="00396C32">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396C32">
        <w:rPr>
          <w:rFonts w:asciiTheme="minorEastAsia" w:eastAsiaTheme="minorEastAsia" w:hAnsiTheme="minorEastAsia" w:hint="eastAsia"/>
          <w:color w:val="333333"/>
        </w:rPr>
        <w:t xml:space="preserve">　　（联系人：张志明，联系电话：86286071；技术支持联系人：邹晓锐，联系电话：17620032926）</w:t>
      </w:r>
    </w:p>
    <w:p w:rsidR="00396C32" w:rsidRPr="00396C32" w:rsidRDefault="00396C32" w:rsidP="00396C32">
      <w:pPr>
        <w:spacing w:line="360" w:lineRule="auto"/>
      </w:pPr>
    </w:p>
    <w:sectPr w:rsidR="00396C32" w:rsidRPr="00396C3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604E" w:rsidRDefault="0078604E" w:rsidP="00396C32">
      <w:r>
        <w:separator/>
      </w:r>
    </w:p>
  </w:endnote>
  <w:endnote w:type="continuationSeparator" w:id="1">
    <w:p w:rsidR="0078604E" w:rsidRDefault="0078604E" w:rsidP="00396C3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604E" w:rsidRDefault="0078604E" w:rsidP="00396C32">
      <w:r>
        <w:separator/>
      </w:r>
    </w:p>
  </w:footnote>
  <w:footnote w:type="continuationSeparator" w:id="1">
    <w:p w:rsidR="0078604E" w:rsidRDefault="0078604E" w:rsidP="00396C3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96C32"/>
    <w:rsid w:val="00396C32"/>
    <w:rsid w:val="007860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96C3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96C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96C32"/>
    <w:rPr>
      <w:sz w:val="18"/>
      <w:szCs w:val="18"/>
    </w:rPr>
  </w:style>
  <w:style w:type="paragraph" w:styleId="a4">
    <w:name w:val="footer"/>
    <w:basedOn w:val="a"/>
    <w:link w:val="Char0"/>
    <w:uiPriority w:val="99"/>
    <w:semiHidden/>
    <w:unhideWhenUsed/>
    <w:rsid w:val="00396C3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96C32"/>
    <w:rPr>
      <w:sz w:val="18"/>
      <w:szCs w:val="18"/>
    </w:rPr>
  </w:style>
  <w:style w:type="character" w:customStyle="1" w:styleId="1Char">
    <w:name w:val="标题 1 Char"/>
    <w:basedOn w:val="a0"/>
    <w:link w:val="1"/>
    <w:uiPriority w:val="9"/>
    <w:rsid w:val="00396C32"/>
    <w:rPr>
      <w:rFonts w:ascii="宋体" w:eastAsia="宋体" w:hAnsi="宋体" w:cs="宋体"/>
      <w:b/>
      <w:bCs/>
      <w:kern w:val="36"/>
      <w:sz w:val="48"/>
      <w:szCs w:val="48"/>
    </w:rPr>
  </w:style>
  <w:style w:type="paragraph" w:styleId="a5">
    <w:name w:val="Normal (Web)"/>
    <w:basedOn w:val="a"/>
    <w:uiPriority w:val="99"/>
    <w:semiHidden/>
    <w:unhideWhenUsed/>
    <w:rsid w:val="00396C32"/>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96C32"/>
    <w:rPr>
      <w:b/>
      <w:bCs/>
    </w:rPr>
  </w:style>
  <w:style w:type="character" w:styleId="a7">
    <w:name w:val="Hyperlink"/>
    <w:basedOn w:val="a0"/>
    <w:uiPriority w:val="99"/>
    <w:semiHidden/>
    <w:unhideWhenUsed/>
    <w:rsid w:val="00396C32"/>
    <w:rPr>
      <w:color w:val="0000FF"/>
      <w:u w:val="single"/>
    </w:rPr>
  </w:style>
</w:styles>
</file>

<file path=word/webSettings.xml><?xml version="1.0" encoding="utf-8"?>
<w:webSettings xmlns:r="http://schemas.openxmlformats.org/officeDocument/2006/relationships" xmlns:w="http://schemas.openxmlformats.org/wordprocessingml/2006/main">
  <w:divs>
    <w:div w:id="810100513">
      <w:bodyDiv w:val="1"/>
      <w:marLeft w:val="0"/>
      <w:marRight w:val="0"/>
      <w:marTop w:val="0"/>
      <w:marBottom w:val="0"/>
      <w:divBdr>
        <w:top w:val="none" w:sz="0" w:space="0" w:color="auto"/>
        <w:left w:val="none" w:sz="0" w:space="0" w:color="auto"/>
        <w:bottom w:val="none" w:sz="0" w:space="0" w:color="auto"/>
        <w:right w:val="none" w:sz="0" w:space="0" w:color="auto"/>
      </w:divBdr>
    </w:div>
    <w:div w:id="18668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263/263404/5280318.doc"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nanhai.gov.cn/attachment/0/263/263403/5280318.doc"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63/263402/5280318.zip" TargetMode="External"/><Relationship Id="rId11" Type="http://schemas.openxmlformats.org/officeDocument/2006/relationships/hyperlink" Target="http://www.nanhai.gov.cn/attachment/0/263/263407/5280318.doc" TargetMode="External"/><Relationship Id="rId5" Type="http://schemas.openxmlformats.org/officeDocument/2006/relationships/endnotes" Target="endnotes.xml"/><Relationship Id="rId10" Type="http://schemas.openxmlformats.org/officeDocument/2006/relationships/hyperlink" Target="http://www.nanhai.gov.cn/attachment/0/263/263406/5280318.doc" TargetMode="External"/><Relationship Id="rId4" Type="http://schemas.openxmlformats.org/officeDocument/2006/relationships/footnotes" Target="footnotes.xml"/><Relationship Id="rId9" Type="http://schemas.openxmlformats.org/officeDocument/2006/relationships/hyperlink" Target="http://www.nanhai.gov.cn/attachment/0/263/263405/5280318.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424</Words>
  <Characters>2418</Characters>
  <Application>Microsoft Office Word</Application>
  <DocSecurity>0</DocSecurity>
  <Lines>20</Lines>
  <Paragraphs>5</Paragraphs>
  <ScaleCrop>false</ScaleCrop>
  <Company>Regaltec</Company>
  <LinksUpToDate>false</LinksUpToDate>
  <CharactersWithSpaces>2837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2022-06-07T04:31:00Z</dcterms:created>
  <dcterms:modified xsi:type="dcterms:W3CDTF">2022-06-07T04:32:00Z</dcterms:modified>
</cp:coreProperties>
</file>