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预拌商品混凝土(砂浆)企业安全生产检查表</w:t>
      </w:r>
    </w:p>
    <w:p>
      <w:pPr>
        <w:tabs>
          <w:tab w:val="left" w:pos="5320"/>
        </w:tabs>
        <w:spacing w:after="240"/>
        <w:ind w:firstLine="600" w:firstLineChars="250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企业名称：                                   </w:t>
      </w:r>
    </w:p>
    <w:tbl>
      <w:tblPr>
        <w:tblStyle w:val="7"/>
        <w:tblW w:w="13850" w:type="dxa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4894"/>
        <w:gridCol w:w="1594"/>
        <w:gridCol w:w="5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检查项目</w:t>
            </w:r>
          </w:p>
        </w:tc>
        <w:tc>
          <w:tcPr>
            <w:tcW w:w="4894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检查内容</w:t>
            </w:r>
          </w:p>
        </w:tc>
        <w:tc>
          <w:tcPr>
            <w:tcW w:w="1594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抽查情况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存在问题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一、安全管理机构和职责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设立安全生产管理机构及配备专职的安全生产管理人员，明确各部门和人员的安全生产职责，制定厂区安全考核办法，严格落实企业安全生产主体责任；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安全生产人员是否持证上岗；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取得安全生产标准化证书；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按期延期；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二、安全生产投入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建立安全生产投入保障制度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建立安全投入台账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建立安全生产费用监督机制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850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三、培训救援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安全生产文件和档案管理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隐患排查与治理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安全生产教育培训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计划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及演练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安全生产事故应急救援预案等；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四、安全生产管理制度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预拌混凝土生产企业应按现行国家法律法规、标准规范建立健全安全生产管理制度，制度应包括三项内容：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生产责任制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企业日常安全管理规章制度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岗位安全操作规程。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企业应按相关规定发放制度并做发放登记。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安全生产规章制度至少应包含下列内容：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安全生产目标与责任制管理；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安全生产投入；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文件和档案管理；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隐患排查与治理；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安全教育培训；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特种作业人员管理；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安全设施设备管理制度；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设备设施安全管理（包括建设、施工、验收）；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建设项目安全设施和职业卫生、环境保护、消防“三同时”管理；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生产设备设施报废管理；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施工和检修维修安全管理；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作业安全管理；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生产设备设施巡检制度；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交通运输安全管理；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危险物品及重大危险源管理；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电气线路安全管理；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相关方及外用工管理；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职业健康管理；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防护用品管理；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应急管理、事故管理、员工工伤保险或安全生产责任保险的管理；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消防管理。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相应的岗位安全操作规程；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相应设备安全操作规程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五、生产设备及安全设施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混凝土搅拌站(楼)设备、设施维护保养运行是否正常，是否定期检修，根据实际情况检修周期一般不超过 3 年，其外观锈蚀、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变形</w:t>
            </w:r>
            <w:r>
              <w:rPr>
                <w:rFonts w:hint="eastAsia" w:ascii="仿宋" w:hAnsi="仿宋" w:eastAsia="仿宋" w:cs="仿宋"/>
                <w:color w:val="0000FF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防风措施、焊接质量等情况；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其中每年一次对防雷装置进行检测。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按要求配备相应的应急照明系统。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封闭式除尘系统；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搅拌系统中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原材料存储仓、钢筒仓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、钢斜梯等安全设置措施；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厂区危险源标识牌及安全生产标志。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生产厂区应明确区域划分，应对厂内物料车、混凝土运输车等车辆进出场路线规定与划分，并对车辆排队等待区域划分，确保厂区人车分流。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厂内应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按规定</w:t>
            </w:r>
            <w:r>
              <w:rPr>
                <w:rFonts w:hint="eastAsia" w:ascii="仿宋" w:hAnsi="仿宋" w:eastAsia="仿宋" w:cs="仿宋"/>
                <w:szCs w:val="21"/>
              </w:rPr>
              <w:t>设置车辆限速标志。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六、消防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用电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及用气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安全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用电系统应符合“三级配电、两级保护”基本要求，并符合《20kV及以下变电所设计》GB50053设计。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电线是否老化裸露；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重点区域否配备灭火器材等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用电、用气设备或工具是否按行业规范定期检定；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七、有限空间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有限空间现场告知牌：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有限空间警示牌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有限空间管理制度；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有限空间操作规程；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有限空间责任人及联系方式；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有限空间（池体）深度标识；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有限空间数量编号。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有限空间现场应急物资柜（柜门张贴物资清单及日常物资检查记录表）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便携式正压式空气呼吸器；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不锈钢长杆；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救生圈和救生绳；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气体浓度检测仪；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防爆型应急灯具；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移动式送风（排风）设备；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其它劳动防护用品。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资料情况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有限空间管理台帐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辨识台账；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有限空间管理（审批）制度；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有限空间作业审批表；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有限空间操作规程；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有限空间应急预案；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有限空间应急演练；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有限空间隐患排查记录；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有限空间安全培训教育记录；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劳动防护用品发放记录。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850" w:type="dxa"/>
            <w:vMerge w:val="restart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八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、工艺安全操作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砂石料在卸料时应采取适当隔离措施，设置声光警示报警装置；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粉料运输车输料时应采用刚性接头，应配有防脱落装置；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外加剂和其他材料应按相关安全管理标准存放；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砂石堆料及挡土墙是否存在滑坡、垮塌隐患；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850" w:type="dxa"/>
            <w:vMerge w:val="continue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原材料输送、搅拌、运输等应按相关安全管理标准执行。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九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车辆超限超载情况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超载运输情况：是否签订《重点货运源头单位责任书》</w:t>
            </w:r>
            <w:r>
              <w:rPr>
                <w:rFonts w:hint="eastAsia" w:ascii="仿宋" w:hAnsi="仿宋" w:eastAsia="仿宋" w:cs="仿宋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Cs w:val="21"/>
              </w:rPr>
              <w:t>健全货物装载安全生产责任制；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Cs w:val="21"/>
              </w:rPr>
              <w:t>建立车辆装载进出台账；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Cs w:val="21"/>
              </w:rPr>
              <w:t>选择合法的货物运输经营者，签订运输合同，明确合法装载等义务;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Cs w:val="21"/>
              </w:rPr>
              <w:t>完善视频监控设备建设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；是否存在车辆超限超载运输出厂的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情况；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十、环境文明生产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厂区扬尘防治情况；砂、石堆场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覆盖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是否设置喷淋等降尘装置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混凝土搅拌车卸料槽末端有否设置防漏桶等。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850" w:type="dxa"/>
            <w:vAlign w:val="center"/>
          </w:tcPr>
          <w:p>
            <w:pPr>
              <w:spacing w:after="240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十一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、其他</w:t>
            </w:r>
          </w:p>
        </w:tc>
        <w:tc>
          <w:tcPr>
            <w:tcW w:w="489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职业健康安全情况；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隐患排查与治理情况；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其他情况；</w:t>
            </w:r>
          </w:p>
        </w:tc>
        <w:tc>
          <w:tcPr>
            <w:tcW w:w="159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□符合</w:t>
            </w:r>
          </w:p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□基本符合</w:t>
            </w:r>
          </w:p>
          <w:p>
            <w:pPr>
              <w:spacing w:after="24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□不符合</w:t>
            </w:r>
          </w:p>
        </w:tc>
        <w:tc>
          <w:tcPr>
            <w:tcW w:w="5512" w:type="dxa"/>
            <w:vAlign w:val="center"/>
          </w:tcPr>
          <w:p>
            <w:pPr>
              <w:spacing w:after="240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after="240"/>
        <w:ind w:firstLine="480" w:firstLineChars="200"/>
        <w:jc w:val="left"/>
      </w:pPr>
      <w:r>
        <w:rPr>
          <w:rFonts w:hint="eastAsia"/>
          <w:sz w:val="24"/>
        </w:rPr>
        <w:t>检查组成员签字：                                                   检查日期：         年     月     日</w:t>
      </w:r>
    </w:p>
    <w:p>
      <w:pPr>
        <w:ind w:firstLine="480" w:firstLineChars="200"/>
      </w:pPr>
      <w:r>
        <w:rPr>
          <w:rFonts w:hint="eastAsia"/>
          <w:sz w:val="24"/>
        </w:rPr>
        <w:t>被检查企业签字：                                                   检查日期：         年     月  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983F0F"/>
    <w:rsid w:val="001930DD"/>
    <w:rsid w:val="003E296B"/>
    <w:rsid w:val="004769D9"/>
    <w:rsid w:val="004C614B"/>
    <w:rsid w:val="006F0DF1"/>
    <w:rsid w:val="0072689B"/>
    <w:rsid w:val="00823228"/>
    <w:rsid w:val="00917324"/>
    <w:rsid w:val="00D23887"/>
    <w:rsid w:val="00D70FD4"/>
    <w:rsid w:val="00EB32B0"/>
    <w:rsid w:val="2CFC6177"/>
    <w:rsid w:val="3D225F91"/>
    <w:rsid w:val="516B667D"/>
    <w:rsid w:val="54DC60CB"/>
    <w:rsid w:val="59D633FD"/>
    <w:rsid w:val="59DB58A6"/>
    <w:rsid w:val="618130BC"/>
    <w:rsid w:val="64A40D97"/>
    <w:rsid w:val="68983F0F"/>
    <w:rsid w:val="71732276"/>
    <w:rsid w:val="73596129"/>
    <w:rsid w:val="76792185"/>
    <w:rsid w:val="7B1D399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269</Words>
  <Characters>1535</Characters>
  <Lines>12</Lines>
  <Paragraphs>3</Paragraphs>
  <ScaleCrop>false</ScaleCrop>
  <LinksUpToDate>false</LinksUpToDate>
  <CharactersWithSpaces>1801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2021-04-20T05:14:00Z</dcterms:created>
  <dc:creator>Administrator</dc:creator>
  <cp:lastModifiedBy>郑佳兴</cp:lastModifiedBy>
  <cp:lastPrinted>2023-04-23T02:22:35Z</cp:lastPrinted>
  <dcterms:modified xsi:type="dcterms:W3CDTF">2023-04-24T08:08:33Z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D71EA9EAFAD44478A30BF8E44051DA54</vt:lpwstr>
  </property>
</Properties>
</file>