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7D" w:rsidRPr="0079217D" w:rsidRDefault="0079217D" w:rsidP="0079217D">
      <w:pPr>
        <w:widowControl/>
        <w:shd w:val="clear" w:color="auto" w:fill="FFFFFF"/>
        <w:spacing w:line="756" w:lineRule="atLeast"/>
        <w:jc w:val="center"/>
        <w:outlineLvl w:val="0"/>
        <w:rPr>
          <w:rFonts w:ascii="微软雅黑" w:eastAsia="微软雅黑" w:hAnsi="微软雅黑" w:cs="宋体"/>
          <w:color w:val="0E59A4"/>
          <w:kern w:val="36"/>
          <w:sz w:val="36"/>
          <w:szCs w:val="36"/>
        </w:rPr>
      </w:pPr>
      <w:r w:rsidRPr="0079217D">
        <w:rPr>
          <w:rFonts w:ascii="微软雅黑" w:eastAsia="微软雅黑" w:hAnsi="微软雅黑" w:cs="宋体" w:hint="eastAsia"/>
          <w:color w:val="0E59A4"/>
          <w:kern w:val="36"/>
          <w:sz w:val="36"/>
          <w:szCs w:val="36"/>
        </w:rPr>
        <w:t>佛山市南海区住房城乡建设和水利局关于进一步加强商品房预售资金监管的通知</w:t>
      </w:r>
    </w:p>
    <w:p w:rsidR="00000000" w:rsidRDefault="008C48C5">
      <w:pPr>
        <w:rPr>
          <w:rFonts w:hint="eastAsia"/>
        </w:rPr>
      </w:pPr>
    </w:p>
    <w:p w:rsidR="0079217D" w:rsidRDefault="0079217D" w:rsidP="0079217D">
      <w:pPr>
        <w:pStyle w:val="a5"/>
        <w:shd w:val="clear" w:color="auto" w:fill="FFFFFF"/>
        <w:spacing w:before="225" w:beforeAutospacing="0" w:after="225" w:afterAutospacing="0"/>
        <w:rPr>
          <w:color w:val="333333"/>
          <w:sz w:val="27"/>
          <w:szCs w:val="27"/>
        </w:rPr>
      </w:pPr>
      <w:r>
        <w:rPr>
          <w:rFonts w:hint="eastAsia"/>
          <w:color w:val="333333"/>
          <w:sz w:val="27"/>
          <w:szCs w:val="27"/>
        </w:rPr>
        <w:t>各房地产开发企业：</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为防范房地产市场风险，规范商品房预售行为，确保项目如期交付，根据《住房和城乡建设部 人民银行 银保监会关于规范商品房预售资金监管的意见》（建房〔2022〕16号）、《佛山市住房和城乡建设局关于印发佛山市商品房预售款监督管理实施办法的通知（佛建〔2020〕85号）等有关工作要求，为进一步加强商品房预售资金监管，现就有关事项通知如下：</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一、规范商品房预售资金缴存</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（一）商品房项目预售期间，房地产开发企业需在销售中心公示栏上公示商品房预售许可证及商品房预售款专用账户信息，并在缴款认购环节提醒购房人将全部价款直接存入商品房预售资金监管账户。</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二）商品房预售资金，包括但不限于定金、首付款、银行按揭贷款、一次性付款、分期付款及其他形式的购房款等，均应直接存入对应预售许可证载明的预售资金监管账户，实行“专款专户、专款专存”。严禁房地产开发企业在预售资金监管账户之外收存预售款。</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lastRenderedPageBreak/>
        <w:t xml:space="preserve">　　（三）预售资金存入监管账户时应载明项目备案名称、楼栋号、房号及购房人姓名。分笔缴入购房款的，应注明定金、首付、第x期分期款、按揭贷款等字眼。</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（四）房地产开发企业应及时和银行对接做好购房首付款、按揭贷款、一次性付款及分期付款等对账工作，不得以混淆不同性质款项对账的形式使任何应缴入资金脱离监管。</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二、强化商品房预售资金使用管理</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（一）在首次申请预售款使用前，房地产开发企业应合理制定用款计划，用款计划应当根据建设工程施工合同配合建设工程形象进度完成情况，按约定的付款节点制定。</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二）房地产开发企业应严格按照项目形象进度申请使用商品房预售款，不得谎报虚报工程进度。房地产开发企业需要申请使用商品房预售款的，应根据《佛山市住房和城乡建设局关于印发佛山市商品房预售款监督管理实施办法的通知》（佛建〔2020〕85号）等相关规定，按项目形象进度提交相应材料，商品房预售资金审批部门依房地产开发企业的用款申请出具审批意见。</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（三）房地产开发企业应保障存入监管账户的商品房预售款优先用于项目建设。提倡预售资金直接拨付至相应施工单位和材料供应商。</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三、加强落实监管责任及惩戒措施</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（一）区、镇两级房地产行政主管部门将加强日常监管巡查频次，对区内商品房项目预售款缴存和使用情况予以监督。</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二）我局将建立预售资金异常预警机制，对存在预售资金缴存异常、首付款或定金未直接存入监管账户、购房人与缴款人不一致、预售资金余额与工程形象进度不匹配、预售资金提取后未用于工程建设等问题的项目，列入“预售资金异常项目清单”。</w:t>
      </w:r>
    </w:p>
    <w:p w:rsidR="0079217D" w:rsidRDefault="0079217D" w:rsidP="0079217D">
      <w:pPr>
        <w:pStyle w:val="a5"/>
        <w:shd w:val="clear" w:color="auto" w:fill="FFFFFF"/>
        <w:spacing w:before="225" w:beforeAutospacing="0" w:after="225" w:afterAutospacing="0"/>
        <w:rPr>
          <w:rFonts w:hint="eastAsia"/>
          <w:color w:val="333333"/>
          <w:sz w:val="27"/>
          <w:szCs w:val="27"/>
        </w:rPr>
      </w:pPr>
      <w:r>
        <w:rPr>
          <w:rFonts w:hint="eastAsia"/>
          <w:color w:val="333333"/>
          <w:sz w:val="27"/>
          <w:szCs w:val="27"/>
        </w:rPr>
        <w:t xml:space="preserve">　　（三）结合日常监管巡查及佛山市房产综合平台监测情况，对被列入“预售资金异常项目清单”且无法作出合理解释的项目，由我局视风险情况，依照预售资金管理相关规定，对房地产开发企业依法查处并责令改正，包括但不限于通报、诚信扣分、调整预售款留存额度、暂停项目销售、暂停预售资金拨付等措施。</w:t>
      </w:r>
    </w:p>
    <w:p w:rsidR="0079217D" w:rsidRDefault="0079217D" w:rsidP="0079217D">
      <w:pPr>
        <w:pStyle w:val="a5"/>
        <w:shd w:val="clear" w:color="auto" w:fill="FFFFFF"/>
        <w:spacing w:before="225" w:beforeAutospacing="0" w:after="225"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w:t>
      </w:r>
    </w:p>
    <w:p w:rsidR="0079217D" w:rsidRDefault="0079217D" w:rsidP="0079217D">
      <w:pPr>
        <w:pStyle w:val="a5"/>
        <w:shd w:val="clear" w:color="auto" w:fill="FFFFFF"/>
        <w:spacing w:before="225" w:beforeAutospacing="0" w:after="225" w:afterAutospacing="0"/>
        <w:jc w:val="right"/>
        <w:rPr>
          <w:rFonts w:hint="eastAsia"/>
          <w:color w:val="333333"/>
          <w:sz w:val="27"/>
          <w:szCs w:val="27"/>
        </w:rPr>
      </w:pPr>
      <w:r>
        <w:rPr>
          <w:rFonts w:hint="eastAsia"/>
          <w:color w:val="333333"/>
          <w:sz w:val="27"/>
          <w:szCs w:val="27"/>
        </w:rPr>
        <w:t xml:space="preserve">　　佛山市南海区住房城乡建设和水利局</w:t>
      </w:r>
    </w:p>
    <w:p w:rsidR="0079217D" w:rsidRDefault="0079217D" w:rsidP="0079217D">
      <w:pPr>
        <w:pStyle w:val="a5"/>
        <w:shd w:val="clear" w:color="auto" w:fill="FFFFFF"/>
        <w:spacing w:before="225" w:beforeAutospacing="0" w:after="225" w:afterAutospacing="0"/>
        <w:jc w:val="right"/>
        <w:rPr>
          <w:rFonts w:hint="eastAsia"/>
          <w:color w:val="333333"/>
          <w:sz w:val="27"/>
          <w:szCs w:val="27"/>
        </w:rPr>
      </w:pPr>
      <w:r>
        <w:rPr>
          <w:rFonts w:hint="eastAsia"/>
          <w:color w:val="333333"/>
          <w:sz w:val="27"/>
          <w:szCs w:val="27"/>
        </w:rPr>
        <w:t xml:space="preserve">　　2023年12月22日</w:t>
      </w:r>
    </w:p>
    <w:p w:rsidR="0079217D" w:rsidRPr="0079217D" w:rsidRDefault="0079217D"/>
    <w:sectPr w:rsidR="0079217D" w:rsidRPr="0079217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8C5" w:rsidRDefault="008C48C5" w:rsidP="0079217D">
      <w:r>
        <w:separator/>
      </w:r>
    </w:p>
  </w:endnote>
  <w:endnote w:type="continuationSeparator" w:id="1">
    <w:p w:rsidR="008C48C5" w:rsidRDefault="008C48C5" w:rsidP="007921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8C5" w:rsidRDefault="008C48C5" w:rsidP="0079217D">
      <w:r>
        <w:separator/>
      </w:r>
    </w:p>
  </w:footnote>
  <w:footnote w:type="continuationSeparator" w:id="1">
    <w:p w:rsidR="008C48C5" w:rsidRDefault="008C48C5" w:rsidP="007921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217D"/>
    <w:rsid w:val="0079217D"/>
    <w:rsid w:val="008C48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9217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21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217D"/>
    <w:rPr>
      <w:sz w:val="18"/>
      <w:szCs w:val="18"/>
    </w:rPr>
  </w:style>
  <w:style w:type="paragraph" w:styleId="a4">
    <w:name w:val="footer"/>
    <w:basedOn w:val="a"/>
    <w:link w:val="Char0"/>
    <w:uiPriority w:val="99"/>
    <w:semiHidden/>
    <w:unhideWhenUsed/>
    <w:rsid w:val="0079217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9217D"/>
    <w:rPr>
      <w:sz w:val="18"/>
      <w:szCs w:val="18"/>
    </w:rPr>
  </w:style>
  <w:style w:type="character" w:customStyle="1" w:styleId="1Char">
    <w:name w:val="标题 1 Char"/>
    <w:basedOn w:val="a0"/>
    <w:link w:val="1"/>
    <w:uiPriority w:val="9"/>
    <w:rsid w:val="0079217D"/>
    <w:rPr>
      <w:rFonts w:ascii="宋体" w:eastAsia="宋体" w:hAnsi="宋体" w:cs="宋体"/>
      <w:b/>
      <w:bCs/>
      <w:kern w:val="36"/>
      <w:sz w:val="48"/>
      <w:szCs w:val="48"/>
    </w:rPr>
  </w:style>
  <w:style w:type="paragraph" w:styleId="a5">
    <w:name w:val="Normal (Web)"/>
    <w:basedOn w:val="a"/>
    <w:uiPriority w:val="99"/>
    <w:semiHidden/>
    <w:unhideWhenUsed/>
    <w:rsid w:val="0079217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85119930">
      <w:bodyDiv w:val="1"/>
      <w:marLeft w:val="0"/>
      <w:marRight w:val="0"/>
      <w:marTop w:val="0"/>
      <w:marBottom w:val="0"/>
      <w:divBdr>
        <w:top w:val="none" w:sz="0" w:space="0" w:color="auto"/>
        <w:left w:val="none" w:sz="0" w:space="0" w:color="auto"/>
        <w:bottom w:val="none" w:sz="0" w:space="0" w:color="auto"/>
        <w:right w:val="none" w:sz="0" w:space="0" w:color="auto"/>
      </w:divBdr>
    </w:div>
    <w:div w:id="204347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192</Words>
  <Characters>1095</Characters>
  <Application>Microsoft Office Word</Application>
  <DocSecurity>0</DocSecurity>
  <Lines>9</Lines>
  <Paragraphs>2</Paragraphs>
  <ScaleCrop>false</ScaleCrop>
  <Company>Regaltec</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2023-12-27T03:19:00Z</dcterms:created>
  <dcterms:modified xsi:type="dcterms:W3CDTF">2023-12-27T03:20:00Z</dcterms:modified>
</cp:coreProperties>
</file>