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BC1" w:rsidRPr="00606BC1" w:rsidRDefault="00606BC1" w:rsidP="00606BC1">
      <w:pPr>
        <w:widowControl/>
        <w:shd w:val="clear" w:color="auto" w:fill="FFFFFF"/>
        <w:spacing w:line="360" w:lineRule="auto"/>
        <w:jc w:val="center"/>
        <w:outlineLvl w:val="0"/>
        <w:rPr>
          <w:rFonts w:asciiTheme="minorEastAsia" w:hAnsiTheme="minorEastAsia" w:cs="宋体"/>
          <w:b/>
          <w:color w:val="0E59A4"/>
          <w:kern w:val="36"/>
          <w:sz w:val="30"/>
          <w:szCs w:val="30"/>
        </w:rPr>
      </w:pPr>
      <w:r w:rsidRPr="00606BC1">
        <w:rPr>
          <w:rFonts w:asciiTheme="minorEastAsia" w:hAnsiTheme="minorEastAsia" w:cs="宋体" w:hint="eastAsia"/>
          <w:b/>
          <w:color w:val="0E59A4"/>
          <w:kern w:val="36"/>
          <w:sz w:val="30"/>
          <w:szCs w:val="30"/>
        </w:rPr>
        <w:t>佛山市南海区建筑工程质量监督站关于开展2024年上半年预拌混凝土（砂浆）质量暨在建工程原材料及试件管理情况专项检查的通知</w:t>
      </w:r>
    </w:p>
    <w:p w:rsidR="00606BC1" w:rsidRPr="00606BC1" w:rsidRDefault="00606BC1" w:rsidP="00606BC1">
      <w:pPr>
        <w:pStyle w:val="a5"/>
        <w:shd w:val="clear" w:color="auto" w:fill="FFFFFF"/>
        <w:spacing w:before="281" w:beforeAutospacing="0" w:after="281" w:afterAutospacing="0" w:line="360" w:lineRule="auto"/>
        <w:jc w:val="center"/>
        <w:rPr>
          <w:rFonts w:asciiTheme="minorEastAsia" w:eastAsiaTheme="minorEastAsia" w:hAnsiTheme="minorEastAsia"/>
          <w:color w:val="333333"/>
        </w:rPr>
      </w:pPr>
      <w:r w:rsidRPr="00606BC1">
        <w:rPr>
          <w:rFonts w:asciiTheme="minorEastAsia" w:eastAsiaTheme="minorEastAsia" w:hAnsiTheme="minorEastAsia" w:hint="eastAsia"/>
          <w:color w:val="333333"/>
        </w:rPr>
        <w:t>南建质监〔2024〕19号</w:t>
      </w:r>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606BC1">
        <w:rPr>
          <w:rFonts w:asciiTheme="minorEastAsia" w:eastAsiaTheme="minorEastAsia" w:hAnsiTheme="minorEastAsia" w:hint="eastAsia"/>
          <w:color w:val="333333"/>
        </w:rPr>
        <w:t>各监督室、各相关单位：</w:t>
      </w:r>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606BC1">
        <w:rPr>
          <w:rFonts w:asciiTheme="minorEastAsia" w:eastAsiaTheme="minorEastAsia" w:hAnsiTheme="minorEastAsia" w:hint="eastAsia"/>
          <w:color w:val="333333"/>
        </w:rPr>
        <w:t xml:space="preserve">　　为持续强化我站监督的房屋建筑和市政基础设施工程的混凝土（砂浆）质量管理，保障工程质量，加强原材料见证检测和工地试件管理，根据佛山市住房和城乡建设局关于印发《佛山市预拌混凝土和预拌砂浆管理规定》（佛建〔2022〕83号）、《佛山市南海区住房城乡建设和水利局关于加强在建工地取样检测管理的通知》（南建水函〔2022〕56号）、《佛山市南海区住房城乡建设和水利局关于严格落实建筑用砂及混凝土拌合物氯离子检验工作的通知（2022年5月18日）》以及我站质量监督工作计划的安排，将组织开展2024年上半年预拌混凝土（砂浆）质量、工地原材料见证检测以及试件管理情况的专项检查。现将情况通知如下：</w:t>
      </w:r>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606BC1">
        <w:rPr>
          <w:rFonts w:asciiTheme="minorEastAsia" w:eastAsiaTheme="minorEastAsia" w:hAnsiTheme="minorEastAsia" w:hint="eastAsia"/>
          <w:color w:val="333333"/>
        </w:rPr>
        <w:t xml:space="preserve">　　一、检查依据</w:t>
      </w:r>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606BC1">
        <w:rPr>
          <w:rFonts w:asciiTheme="minorEastAsia" w:eastAsiaTheme="minorEastAsia" w:hAnsiTheme="minorEastAsia" w:hint="eastAsia"/>
          <w:color w:val="333333"/>
        </w:rPr>
        <w:t xml:space="preserve">　　《建设工程质量管理条例》、《广东省建设工程质量管理条例》、《预拌砂浆、混凝土及制品企业试验室管理规范》（DBJ15-104-2015）、《预拌混凝土生产质量管理技术规程》（DBJ/T 15-74-2021）、《预拌砂浆生产与应用技术管理规程》（DBJ/T15-111-2016）、《海砂混凝土应用技术规范》（JGJ206-2010）、《人工砂混凝土应用技术规程》（JGJ/T 241-2011）、《预拌混凝土用机制砂应用技术规程》（DBJ/T 15-119-2016）、《混凝土质量控制标准》（GB50164-2011）、《混凝土中氯离子含量检测技术规程》（JGJ/T322-2013）、《混凝土氯离子控制标准》（DBJ/T15-232-2021）、《混凝土结构通用规范》（GB 55008-2021）等相关法律法规和标准。</w:t>
      </w:r>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606BC1">
        <w:rPr>
          <w:rFonts w:asciiTheme="minorEastAsia" w:eastAsiaTheme="minorEastAsia" w:hAnsiTheme="minorEastAsia" w:hint="eastAsia"/>
          <w:color w:val="333333"/>
        </w:rPr>
        <w:t xml:space="preserve">　　二、检查安排</w:t>
      </w:r>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606BC1">
        <w:rPr>
          <w:rFonts w:asciiTheme="minorEastAsia" w:eastAsiaTheme="minorEastAsia" w:hAnsiTheme="minorEastAsia" w:hint="eastAsia"/>
          <w:color w:val="333333"/>
        </w:rPr>
        <w:lastRenderedPageBreak/>
        <w:t xml:space="preserve">　　</w:t>
      </w:r>
      <w:r w:rsidRPr="00606BC1">
        <w:rPr>
          <w:rStyle w:val="a6"/>
          <w:rFonts w:asciiTheme="minorEastAsia" w:eastAsiaTheme="minorEastAsia" w:hAnsiTheme="minorEastAsia" w:hint="eastAsia"/>
          <w:color w:val="333333"/>
        </w:rPr>
        <w:t> （一）检查时间</w:t>
      </w:r>
      <w:r w:rsidRPr="00606BC1">
        <w:rPr>
          <w:rFonts w:asciiTheme="minorEastAsia" w:eastAsiaTheme="minorEastAsia" w:hAnsiTheme="minorEastAsia" w:hint="eastAsia"/>
          <w:color w:val="333333"/>
        </w:rPr>
        <w:t>：2024年3月26日至28日。</w:t>
      </w:r>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606BC1">
        <w:rPr>
          <w:rFonts w:asciiTheme="minorEastAsia" w:eastAsiaTheme="minorEastAsia" w:hAnsiTheme="minorEastAsia" w:hint="eastAsia"/>
          <w:color w:val="333333"/>
        </w:rPr>
        <w:t xml:space="preserve">　　</w:t>
      </w:r>
      <w:r w:rsidRPr="00606BC1">
        <w:rPr>
          <w:rStyle w:val="a6"/>
          <w:rFonts w:asciiTheme="minorEastAsia" w:eastAsiaTheme="minorEastAsia" w:hAnsiTheme="minorEastAsia" w:hint="eastAsia"/>
          <w:color w:val="333333"/>
        </w:rPr>
        <w:t>（二）检查范围</w:t>
      </w:r>
      <w:r w:rsidRPr="00606BC1">
        <w:rPr>
          <w:rFonts w:asciiTheme="minorEastAsia" w:eastAsiaTheme="minorEastAsia" w:hAnsiTheme="minorEastAsia" w:hint="eastAsia"/>
          <w:color w:val="333333"/>
        </w:rPr>
        <w:t>：我区内取得预拌混凝土专业承包资质并取得佛山市建筑行业诚信手册的预拌混凝土生产企业;已取得广东省预拌砂浆生产企业备案凭证，并取得佛山市建筑行业诚信手册的预拌砂浆生产企业，以及正在使用预拌混凝土（砂浆）的区管在建在监工地。</w:t>
      </w:r>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606BC1">
        <w:rPr>
          <w:rStyle w:val="a6"/>
          <w:rFonts w:asciiTheme="minorEastAsia" w:eastAsiaTheme="minorEastAsia" w:hAnsiTheme="minorEastAsia" w:hint="eastAsia"/>
          <w:color w:val="333333"/>
        </w:rPr>
        <w:t xml:space="preserve">　　（三）组织领导与检查组组成</w:t>
      </w:r>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606BC1">
        <w:rPr>
          <w:rFonts w:asciiTheme="minorEastAsia" w:eastAsiaTheme="minorEastAsia" w:hAnsiTheme="minorEastAsia" w:hint="eastAsia"/>
          <w:color w:val="333333"/>
        </w:rPr>
        <w:t xml:space="preserve">　　为加强领导，做好统筹工作，本次检查成立工作领导小组，工作领导小组组长由站长担任，副组长由分管站领导担任，各监督室主任为工作领导小组成员。</w:t>
      </w:r>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606BC1">
        <w:rPr>
          <w:rFonts w:asciiTheme="minorEastAsia" w:eastAsiaTheme="minorEastAsia" w:hAnsiTheme="minorEastAsia" w:hint="eastAsia"/>
          <w:color w:val="333333"/>
        </w:rPr>
        <w:t xml:space="preserve">　　三、检查方式和内容</w:t>
      </w:r>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606BC1">
        <w:rPr>
          <w:rFonts w:asciiTheme="minorEastAsia" w:eastAsiaTheme="minorEastAsia" w:hAnsiTheme="minorEastAsia" w:hint="eastAsia"/>
          <w:color w:val="333333"/>
        </w:rPr>
        <w:t xml:space="preserve">　　本次专项检查期间每天安排2个检查小组，每组3人，检查人员采用我站三随机系统随机抽取生成，每天抽取2个预拌混凝土（砂浆）企业，每个检查组聘请一名专家协助检查。主要抽查企业预拌混凝土（砂浆）供货合同签订和管理情况，原材料管理及混凝土拌合物检验情况，试验室考核情况，生产用砂及海砂、人工砂的检验和使用管理情况，生产质量控制情况，混凝土验收管理情况，试件管理及质量管理记录，生产数据分析和信息化管理情况等，填写《南海区预拌混凝土（砂浆）质量检查表》（详见附件1）；并随机对该企业正在供应混凝土（砂浆）的一个区管工程施工现场原材料见证送检、试件管理情况、建筑用砂及混凝土氯离子检测情况进行抽查，填写《南海区建筑工程质量监督抽查表（建筑原材料、试件管理、建筑用砂及混凝土氯离子检测情况）》（详见附件2）。</w:t>
      </w:r>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606BC1">
        <w:rPr>
          <w:rFonts w:asciiTheme="minorEastAsia" w:eastAsiaTheme="minorEastAsia" w:hAnsiTheme="minorEastAsia" w:hint="eastAsia"/>
          <w:color w:val="333333"/>
        </w:rPr>
        <w:t xml:space="preserve">　　四、工作要求</w:t>
      </w:r>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606BC1">
        <w:rPr>
          <w:rStyle w:val="a6"/>
          <w:rFonts w:asciiTheme="minorEastAsia" w:eastAsiaTheme="minorEastAsia" w:hAnsiTheme="minorEastAsia" w:hint="eastAsia"/>
          <w:color w:val="333333"/>
        </w:rPr>
        <w:t xml:space="preserve">　　（一）高度重视，扎实开展</w:t>
      </w:r>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606BC1">
        <w:rPr>
          <w:rFonts w:asciiTheme="minorEastAsia" w:eastAsiaTheme="minorEastAsia" w:hAnsiTheme="minorEastAsia" w:hint="eastAsia"/>
          <w:color w:val="333333"/>
        </w:rPr>
        <w:t xml:space="preserve">　　请各混凝土（砂浆）企业高度重视本次专项检查工作，按要求做好自查自纠，发现问题及时整改。站分管领导要亲自带队检查，监督检查人员要认真对照相关标准规范和文件要求 ，结合施工现场日常监督抽查中发现的相关质量问题对混凝土（砂浆）质量开展针对性检查，重点检查预拌混凝土（砂浆）的原材料检验、生产质量控制重点环节配合比设计、实施情况，预拌混凝土三方交货检验制度落实情况；工地原材料是否按照相关文件、规范要求进行见证抽样送检，试件制作、养护情况，以及试块制作场所及养护室（箱）是否纳入视频监控范围；建筑用砂和混凝土氯离子检测情况等。对检查中发现的质量问题，应立即责令整改；对涉及产品质量，可能影响工程实体质量的较严重质量问题或隐患，应及时上报建设主管部门。</w:t>
      </w:r>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606BC1">
        <w:rPr>
          <w:rStyle w:val="a6"/>
          <w:rFonts w:asciiTheme="minorEastAsia" w:eastAsiaTheme="minorEastAsia" w:hAnsiTheme="minorEastAsia" w:hint="eastAsia"/>
          <w:color w:val="333333"/>
        </w:rPr>
        <w:t xml:space="preserve">　　（二）认真总结，及时报送</w:t>
      </w:r>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606BC1">
        <w:rPr>
          <w:rFonts w:asciiTheme="minorEastAsia" w:eastAsiaTheme="minorEastAsia" w:hAnsiTheme="minorEastAsia" w:hint="eastAsia"/>
          <w:color w:val="333333"/>
        </w:rPr>
        <w:t xml:space="preserve">　　检查组应将检查表格、执法文书和检查小结当日起2个工作日内送技术室，由技术室汇总对专项检查情况进行总结通报。工程施工现场原材料、试件管理、建筑用砂及混凝土氯离子检测情况的整改回复由相应的项目监督组负责跟踪，回复整改到期后将复印件上交技术室存档，预拌混凝土（砂浆）企业的整改回复由技术室负责跟踪，并将回复整改资料存档。</w:t>
      </w:r>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606BC1">
        <w:rPr>
          <w:rFonts w:asciiTheme="minorEastAsia" w:eastAsiaTheme="minorEastAsia" w:hAnsiTheme="minorEastAsia" w:hint="eastAsia"/>
          <w:color w:val="333333"/>
        </w:rPr>
        <w:t> </w:t>
      </w:r>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606BC1">
          <w:rPr>
            <w:rStyle w:val="a7"/>
            <w:rFonts w:asciiTheme="minorEastAsia" w:eastAsiaTheme="minorEastAsia" w:hAnsiTheme="minorEastAsia" w:hint="eastAsia"/>
            <w:color w:val="333333"/>
          </w:rPr>
          <w:t>附件1 南海区预拌混凝土（砂浆）质量检查表.docx</w:t>
        </w:r>
      </w:hyperlink>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606BC1">
          <w:rPr>
            <w:rStyle w:val="a7"/>
            <w:rFonts w:asciiTheme="minorEastAsia" w:eastAsiaTheme="minorEastAsia" w:hAnsiTheme="minorEastAsia" w:hint="eastAsia"/>
            <w:color w:val="333333"/>
          </w:rPr>
          <w:t>附件2 南海区建筑工程质量监督抽查表（建筑原材料、试件管理、砂及混凝土氯离子检测情况）.docx</w:t>
        </w:r>
      </w:hyperlink>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606BC1" w:rsidRPr="00606BC1" w:rsidRDefault="00606BC1" w:rsidP="00606BC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606BC1" w:rsidRPr="00606BC1" w:rsidRDefault="00606BC1" w:rsidP="00606BC1">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606BC1">
        <w:rPr>
          <w:rFonts w:asciiTheme="minorEastAsia" w:eastAsiaTheme="minorEastAsia" w:hAnsiTheme="minorEastAsia" w:hint="eastAsia"/>
          <w:color w:val="333333"/>
        </w:rPr>
        <w:t xml:space="preserve">　　佛山市南海区建筑工程质量监督站</w:t>
      </w:r>
    </w:p>
    <w:p w:rsidR="00606BC1" w:rsidRPr="00606BC1" w:rsidRDefault="00606BC1" w:rsidP="00606BC1">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606BC1">
        <w:rPr>
          <w:rFonts w:asciiTheme="minorEastAsia" w:eastAsiaTheme="minorEastAsia" w:hAnsiTheme="minorEastAsia" w:hint="eastAsia"/>
          <w:color w:val="333333"/>
        </w:rPr>
        <w:t xml:space="preserve">　　      2024年3月19日</w:t>
      </w:r>
    </w:p>
    <w:p w:rsidR="00606BC1" w:rsidRPr="00606BC1" w:rsidRDefault="00606BC1"/>
    <w:sectPr w:rsidR="00606BC1" w:rsidRPr="00606BC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3032" w:rsidRDefault="007C3032" w:rsidP="00606BC1">
      <w:r>
        <w:separator/>
      </w:r>
    </w:p>
  </w:endnote>
  <w:endnote w:type="continuationSeparator" w:id="1">
    <w:p w:rsidR="007C3032" w:rsidRDefault="007C3032" w:rsidP="00606B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3032" w:rsidRDefault="007C3032" w:rsidP="00606BC1">
      <w:r>
        <w:separator/>
      </w:r>
    </w:p>
  </w:footnote>
  <w:footnote w:type="continuationSeparator" w:id="1">
    <w:p w:rsidR="007C3032" w:rsidRDefault="007C3032" w:rsidP="00606B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06BC1"/>
    <w:rsid w:val="00606BC1"/>
    <w:rsid w:val="007C30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06BC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06B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06BC1"/>
    <w:rPr>
      <w:sz w:val="18"/>
      <w:szCs w:val="18"/>
    </w:rPr>
  </w:style>
  <w:style w:type="paragraph" w:styleId="a4">
    <w:name w:val="footer"/>
    <w:basedOn w:val="a"/>
    <w:link w:val="Char0"/>
    <w:uiPriority w:val="99"/>
    <w:semiHidden/>
    <w:unhideWhenUsed/>
    <w:rsid w:val="00606BC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06BC1"/>
    <w:rPr>
      <w:sz w:val="18"/>
      <w:szCs w:val="18"/>
    </w:rPr>
  </w:style>
  <w:style w:type="character" w:customStyle="1" w:styleId="1Char">
    <w:name w:val="标题 1 Char"/>
    <w:basedOn w:val="a0"/>
    <w:link w:val="1"/>
    <w:uiPriority w:val="9"/>
    <w:rsid w:val="00606BC1"/>
    <w:rPr>
      <w:rFonts w:ascii="宋体" w:eastAsia="宋体" w:hAnsi="宋体" w:cs="宋体"/>
      <w:b/>
      <w:bCs/>
      <w:kern w:val="36"/>
      <w:sz w:val="48"/>
      <w:szCs w:val="48"/>
    </w:rPr>
  </w:style>
  <w:style w:type="paragraph" w:styleId="a5">
    <w:name w:val="Normal (Web)"/>
    <w:basedOn w:val="a"/>
    <w:uiPriority w:val="99"/>
    <w:semiHidden/>
    <w:unhideWhenUsed/>
    <w:rsid w:val="00606BC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606BC1"/>
    <w:rPr>
      <w:b/>
      <w:bCs/>
    </w:rPr>
  </w:style>
  <w:style w:type="character" w:styleId="a7">
    <w:name w:val="Hyperlink"/>
    <w:basedOn w:val="a0"/>
    <w:uiPriority w:val="99"/>
    <w:semiHidden/>
    <w:unhideWhenUsed/>
    <w:rsid w:val="00606BC1"/>
    <w:rPr>
      <w:color w:val="0000FF"/>
      <w:u w:val="single"/>
    </w:rPr>
  </w:style>
</w:styles>
</file>

<file path=word/webSettings.xml><?xml version="1.0" encoding="utf-8"?>
<w:webSettings xmlns:r="http://schemas.openxmlformats.org/officeDocument/2006/relationships" xmlns:w="http://schemas.openxmlformats.org/wordprocessingml/2006/main">
  <w:divs>
    <w:div w:id="65996459">
      <w:bodyDiv w:val="1"/>
      <w:marLeft w:val="0"/>
      <w:marRight w:val="0"/>
      <w:marTop w:val="0"/>
      <w:marBottom w:val="0"/>
      <w:divBdr>
        <w:top w:val="none" w:sz="0" w:space="0" w:color="auto"/>
        <w:left w:val="none" w:sz="0" w:space="0" w:color="auto"/>
        <w:bottom w:val="none" w:sz="0" w:space="0" w:color="auto"/>
        <w:right w:val="none" w:sz="0" w:space="0" w:color="auto"/>
      </w:divBdr>
    </w:div>
    <w:div w:id="7945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93/393061/5928875.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93/393060/5928875.doc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325</Words>
  <Characters>1856</Characters>
  <Application>Microsoft Office Word</Application>
  <DocSecurity>0</DocSecurity>
  <Lines>15</Lines>
  <Paragraphs>4</Paragraphs>
  <ScaleCrop>false</ScaleCrop>
  <Company>Regaltec</Company>
  <LinksUpToDate>false</LinksUpToDate>
  <CharactersWithSpaces>2177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2024-03-20T02:38:00Z</dcterms:created>
  <dcterms:modified xsi:type="dcterms:W3CDTF">2024-03-20T02:39:00Z</dcterms:modified>
</cp:coreProperties>
</file>