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7831" w:rsidRPr="005A7831" w:rsidRDefault="005A7831" w:rsidP="005A7831">
      <w:pPr>
        <w:widowControl/>
        <w:shd w:val="clear" w:color="auto" w:fill="FFFFFF"/>
        <w:spacing w:line="360" w:lineRule="auto"/>
        <w:jc w:val="center"/>
        <w:outlineLvl w:val="0"/>
        <w:rPr>
          <w:rFonts w:asciiTheme="minorEastAsia" w:hAnsiTheme="minorEastAsia" w:cs="宋体"/>
          <w:b/>
          <w:color w:val="0E59A4"/>
          <w:kern w:val="36"/>
          <w:sz w:val="30"/>
          <w:szCs w:val="30"/>
        </w:rPr>
      </w:pPr>
      <w:r w:rsidRPr="005A7831">
        <w:rPr>
          <w:rFonts w:asciiTheme="minorEastAsia" w:hAnsiTheme="minorEastAsia" w:cs="宋体" w:hint="eastAsia"/>
          <w:b/>
          <w:color w:val="0E59A4"/>
          <w:kern w:val="36"/>
          <w:sz w:val="30"/>
          <w:szCs w:val="30"/>
        </w:rPr>
        <w:t>佛山市南海区住房城乡建设和水利局关于印发佛山市南海区水务系统安全生产治本攻坚三年行动实施方案（2024-2026年）的通知</w:t>
      </w:r>
    </w:p>
    <w:p w:rsidR="005A7831" w:rsidRPr="005A7831" w:rsidRDefault="005A7831" w:rsidP="005A7831">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r w:rsidRPr="005A7831">
        <w:rPr>
          <w:rFonts w:asciiTheme="minorEastAsia" w:eastAsiaTheme="minorEastAsia" w:hAnsiTheme="minorEastAsia" w:hint="eastAsia"/>
          <w:color w:val="333333"/>
        </w:rPr>
        <w:t>南建水函〔2024〕13号</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各镇（街道）城建和水利办公室、市政办公室，局各相关股室，区建筑工程施工安全监督站、区水利水电工程质量监督站、各水利所，区水利投资建设有限公司、区蓝湾水环境投资建设有限公司，各镇（街道）水投公司，各区直属单位、各建设、施工、监理单位，各有关单位：</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为认真贯彻落实习近平总书记关于安全生产系列重要指示精神，进一步夯实我区住房城乡建设领域安全生产基础，从根本上消除事故隐患，坚决防范遏制重特大生产安全事故，我局制定了《佛山市南海区水务系统安全生产治本攻坚三年行动实施方案（2024-2026年）》，现印发给你们，请认真遵照执行。</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w:t>
      </w:r>
    </w:p>
    <w:p w:rsidR="005A7831" w:rsidRPr="005A7831" w:rsidRDefault="005A7831" w:rsidP="005A7831">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佛山市南海区住房城乡建设和水利局</w:t>
      </w:r>
    </w:p>
    <w:p w:rsidR="005A7831" w:rsidRPr="005A7831" w:rsidRDefault="005A7831" w:rsidP="005A7831">
      <w:pPr>
        <w:pStyle w:val="a5"/>
        <w:shd w:val="clear" w:color="auto" w:fill="FFFFFF"/>
        <w:spacing w:before="322" w:beforeAutospacing="0" w:after="322" w:afterAutospacing="0" w:line="360" w:lineRule="auto"/>
        <w:jc w:val="right"/>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2024年4月7日</w:t>
      </w:r>
    </w:p>
    <w:p w:rsidR="005A7831" w:rsidRDefault="005A7831" w:rsidP="005A7831">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r w:rsidRPr="005A7831">
        <w:rPr>
          <w:rFonts w:asciiTheme="minorEastAsia" w:eastAsiaTheme="minorEastAsia" w:hAnsiTheme="minorEastAsia" w:hint="eastAsia"/>
          <w:color w:val="333333"/>
        </w:rPr>
        <w:t xml:space="preserve">　　</w:t>
      </w:r>
    </w:p>
    <w:p w:rsidR="005A7831" w:rsidRDefault="005A7831" w:rsidP="005A7831">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p>
    <w:p w:rsidR="005A7831" w:rsidRDefault="005A7831" w:rsidP="005A7831">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p>
    <w:p w:rsidR="005A7831" w:rsidRDefault="005A7831" w:rsidP="005A7831">
      <w:pPr>
        <w:pStyle w:val="a5"/>
        <w:shd w:val="clear" w:color="auto" w:fill="FFFFFF"/>
        <w:spacing w:before="322" w:beforeAutospacing="0" w:after="322" w:afterAutospacing="0" w:line="360" w:lineRule="auto"/>
        <w:jc w:val="center"/>
        <w:rPr>
          <w:rFonts w:asciiTheme="minorEastAsia" w:eastAsiaTheme="minorEastAsia" w:hAnsiTheme="minorEastAsia"/>
          <w:color w:val="333333"/>
        </w:rPr>
      </w:pPr>
    </w:p>
    <w:p w:rsidR="005A7831" w:rsidRPr="005A7831" w:rsidRDefault="005A7831" w:rsidP="005A7831">
      <w:pPr>
        <w:pStyle w:val="a5"/>
        <w:shd w:val="clear" w:color="auto" w:fill="FFFFFF"/>
        <w:spacing w:before="322" w:beforeAutospacing="0" w:after="322" w:afterAutospacing="0" w:line="360" w:lineRule="auto"/>
        <w:jc w:val="center"/>
        <w:rPr>
          <w:rFonts w:asciiTheme="minorEastAsia" w:eastAsiaTheme="minorEastAsia" w:hAnsiTheme="minorEastAsia" w:hint="eastAsia"/>
          <w:color w:val="333333"/>
        </w:rPr>
      </w:pP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Style w:val="a6"/>
          <w:rFonts w:asciiTheme="minorEastAsia" w:eastAsiaTheme="minorEastAsia" w:hAnsiTheme="minorEastAsia" w:hint="eastAsia"/>
          <w:color w:val="333333"/>
        </w:rPr>
        <w:lastRenderedPageBreak/>
        <w:t>佛山市南海区水务系统安全生产治本攻坚三年行动实施方案（2024-2026年）</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为认真贯彻落实习近平总书记关于安全生产系列重要指示精神，进一步夯实我区住房城乡建设领域安全生产基础，从根本上消除事故隐患，有效防范遏制较大以上生产安全事故发生，按照《广东省水利系统安全生产治本攻坚三年行动实施方案（2024-2026年）》（粤水监督〔2024〕2号）、《广东省住房城乡建设系统安全生产治本攻坚三年行动实施方案（2024-2026年）》（粤建安办〔2024〕1号）、《佛山市安全生产治本攻坚三年行动实施方案（2024-2026年）》《佛山市水利系统安全生产治本攻坚三年行动实施方案（2024-2026年）》《佛山市南海区安全生产治本攻坚三年行动实施方案（2024-2026年）》等总体要求，结合实际，制定本方案。</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一、总体要求</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一）指导思想。以习近平新时代中国特色社会主义思想为指导，全面贯彻党的二十大精神，坚持人民至上、生命至上，坚持安全第一、预防为主，坚持标本兼治、重在治本，将遏制重特大事故的关口前移到管控水务重点行业、重点领域容易导致群死群伤的重大风险，着力消减重大风险，着力消除由于重大风险管控措施缺失或执行不到位而形成的重大事故隐患，着力整治群众身边突出安全隐患。开展安全生产治本攻坚行动，落细落实国务院安委会安全生产“十五条硬措施”、广东“65条具体措施”、佛山“88条实施细则”和佛山水务“60条实施细则”和南海区“76条实施细则”，在安全理念、安全责任、安全规划、安全法治、安全标准、安全科技、安全工程、安全素质等方面抓重点、补短板、强弱项，切实提高风险隐患排查整改质量、切实提升发现问题和解决问题的强烈意愿和能力水平，推动重大事故隐患动态清零，不断提升本质安全水平，加快推进水务领域安全生产治理体系和治理能力现代化，努力推进高质量发展和高水平安全良性互动。</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二）主要目标。通过三年治本攻坚，我区水务领域各级管理部门和水务生产经营单位统筹发展和安全的理念进一步强化，安全生产责任体系进一步健全，安全生产监管责任和企业主体责任不断压实，消减重大安全风险、消除重大事故隐患的积极性主动性显著增强；水利安全生产风险查找、研判、预警、防范、处置、责任等风险管控机制（以下简称“六项机制”）健全，水务领域从业人员安全教育培训机制全面建立，从业人员安全素质显著增强，安全生产信息化智能化管控能力有效提升，重大危险源严格管控；水务基础设施符合安全标准，水务工程安全管理水平切实提高，安全生产信息化智能化管控能力有效提升。2024年底前基本消除2023年及以前排查发现的重大事故隐患存量，2025年底前有效遏制重大事故隐患增量，2026年底前形成重大事故隐患动态清零的常态化机制，安全风险隐患排查治理质量明显提升。水务领域总体安全生产形势持续稳定向好，较大及以上事故得到有效遏制。</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二、成立安全生产治本攻坚三年行动工作专班</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组长由我局黄健鹏局长担任，副组长由黄友波总工程师、邓建波副局长、边志民副局长担任，成员包括局工程质量安全监管股、水利规划建设股、水环境治理股、水资源管理股、水利工程管理股、排水管理股、河湖管理股、执法监察大队、建管股各股室负责人。</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三、主要任务</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Style w:val="a6"/>
          <w:rFonts w:asciiTheme="minorEastAsia" w:eastAsiaTheme="minorEastAsia" w:hAnsiTheme="minorEastAsia" w:hint="eastAsia"/>
          <w:color w:val="333333"/>
        </w:rPr>
        <w:t xml:space="preserve">　　（一）全面提升水务领域企业安全素质</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1.提升水务生产经营单位主要负责人安全责任意识。我局将采用“线上+线下”等方式，以水务领域法律法规、安全生产和消防法律法规、《刑法修正案（十一）》《关于办理危害生产安全刑事案件适用法律若干问题的解释（二）》《建设工程安全生产管理条例》等法律法规、有关事故警示案例为重点，在2026年底前，对水利、市政供排水等水务领域企事业单位主要负责人开展一轮全覆盖安全生产教育培训，切实提升企事业单位“第一责任人”安全风险防控意识和安全管理能力。</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2.提升水务生产经营单位安全生产管理人员能力水平。企事业单位项目负责人、专职安全生产管理人员等人员应严格落实安全知识、管理能力的继续教育，应熟悉重大事故隐患排查整治有关要求、判定标准。各镇（街道）有关部门、局各相关股室、区监督站应督促水务领域企业安全生产管理人员熟练掌握重大事故隐患排查整治各项任务措施。</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3.提升水务生产经营单位从业人员安全技能。各镇（街道）有关部门、局各相关股室、区监督站应严查水务领域相关企业单位施工电气焊作业等特种作业人员持证上岗情况，督促相关企业单位严格有限空间作业人员管理，严格遵守有限空间作业、消防安全、生产安全等操作规程，围绕典型事故开展安全生产警示教育。水务领域各企事业单位应定期组织全体员工定期学习相关安全技能，相关企业可以通过开展安全技能比赛等形式，切实提升一线从业人员安全技能,提高安全素养。</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4.提升从业人员应急处置意识能力。各水务领域企事业单位应每半年至少开展1次应急处置、应急抢险、疏散逃生演练，让全体从业人员熟知逃生通道、安全出口及应急处置要求，熟悉有限空间作业应急救援要求，形成常态化机制。各镇（街道）有关部门、局各相关股室、区监督站应指导督促工程建设、运营单位制定切实可行的有限空间作业应急处置方案，主动开展救援演练，通过现场实操形式的演练，提高作业现场有关人员遇险救援能力，应急演练结束后，要对演练效果进行评估，分析存在问题，提出改进措施，修订完善应急预案或救援处置方案；同时推动水务领域企事业单位全面依法建设安全生产应急救援队伍，满足安全风险防范和事故抢险救援需要。</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Style w:val="a6"/>
          <w:rFonts w:asciiTheme="minorEastAsia" w:eastAsiaTheme="minorEastAsia" w:hAnsiTheme="minorEastAsia" w:hint="eastAsia"/>
          <w:color w:val="333333"/>
        </w:rPr>
        <w:t xml:space="preserve">　　（二）深入宣贯重大事故隐患判定标准</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全面宣贯判定标准，规范工作流程。各镇（街道）有关部门、局各相关股室、区监督站应深刻汲取近年事故教训，认真总结水务领域重大事故隐患专项排查整治2023行动经验做法，全面宣贯水利、市政供排水重大事故隐患、严重事故隐患判定标准，不断提升监管执法人员和企业相关责任人发现重大事故隐患的能力水平，结合实际，进一步明确水利和市政供排水行业领域重点检查事项，规范隐患排查工作流程，有效提高排查整治质量。</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Style w:val="a6"/>
          <w:rFonts w:asciiTheme="minorEastAsia" w:eastAsiaTheme="minorEastAsia" w:hAnsiTheme="minorEastAsia" w:hint="eastAsia"/>
          <w:color w:val="333333"/>
        </w:rPr>
        <w:t xml:space="preserve">　　（三）全力推动重大事故隐患动态清零</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1.健全企事业单位重大事故隐患自查自改常态化机制。水利和市政供排水企事业单位主要负责人要每季度对本单位重大事故隐患排查整治情况至少开展1次检查，涉危大工程、风险较高作业等工程的单位主要负责人和水利工程建设项目法人主要负责人每月对本单位重大事故隐患排查整治情况至少开展1次检查，完善并落实全员安全生产岗位责任制，对发现的问题实行闭环管理，实行重大事故隐患动态清零。</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2.各镇（街道）有关部门、局各相关股室应健全完善行业领域专家、企业退休技安人员以及专业技术服务机构参与排查整治工作的长效机制，加大支撑保障力度，提高排查整治专业性。对于未开展排查、明明有问题却查不出，或者查出后拒不整改等导致重大事故隐患长期存在的企业，严格参照事故调查处理有关规定，查清问题并依法依规严肃责任追究。</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3.各镇（街道）有关部门、局各相关股室、各相关下属事业单位应按照水利风景区重大事故隐患排查清单，组织开展水利风景区闸（坝）、浮（吊）桥、索道、缆车等设施设备和水务部门管理的邻水路段、桥梁和堤岸坝顶等通道进行全面排查，对存在安全隐患的，要立即增加警示提示和安全防护设施设备。同时，加强对河道采砂、洗砂、运输河砂、侵占河湖岸线等活动的执法工作。</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Style w:val="a6"/>
          <w:rFonts w:asciiTheme="minorEastAsia" w:eastAsiaTheme="minorEastAsia" w:hAnsiTheme="minorEastAsia" w:hint="eastAsia"/>
          <w:color w:val="333333"/>
        </w:rPr>
        <w:t xml:space="preserve">　　（四）深化关键领域安全风险排查治理</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1.持续加强水务工程建设领域施工安全管理。</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严格落实加强在建水务工程安全度汛工作的指导意见，做好在建水务工程安全度汛管理。严格落实推进水务工程建设安全生产责任保险工作的指导意见，督促承保单位落实事故预防服务，充分发挥市场机制作用，防范和减少事故发生。落实有关施工安全监管的政策措施及标准规范指引，按“逐企业、逐项目、逐设备”标准，聚焦危大工程、风险较高作业，动态消除重大事故隐患；推进“三宝、四口、五临边”安全措施，加强高处坠落、物体打击、机械伤害、有限空间等事故预防；吸取近年来发生的水务领域安全生产事故教训，紧盯高处作业、临边作业、动火作业、交叉作业、起重吊装、临时用电、施工现场交通、排水基础设施调试、特种设备、有限空间等重点环节，常态化开展水务工程建设安全生产督导检查。加强深基坑支护、重大吊装、超高作业、新工艺施工等监督控制，对危险性较大分部分项工程，必须按照法律法规落实方案编制及专家评审要求，并编制检查表对危大工程的施工全过程进行跟踪，落实专人、专项加强旁站和值班。</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加强用工实名制管理，推动工程项目现场关键岗位管理人员到岗履职。督促指导施工企业安全生产管理人员履行法定职责，落实安全生产检查记录仪和施工安全日志制度，规范专职安全生产管理人员工作流程；健全施工企业资质和安全生产许可条件动态核查和预警机制，对不满足资质和安全生产条件的企业，以及发生事故、检查发现存有重大事故隐患的企业及其承建的项目实施重点监管，依法严肃查处，实施联合惩戒。</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全面应用水利安全生产信息系统、市政供排水工程质量安全监管一体化平台，加快推广智能建造技术产品，有效提升水务工程施工自动化、智能化水平。严格落实危险作业现场安全管理“七项”措施：一是进行安全风险识别并确认现场作业条件符合安全作业要求；二是制定作业方案或者安全防范措施并设置安全警示标志；三是按规定开具安全作业票证并进行现场查验确认；四是确认作业人员上岗资质、身体状况及配备的劳动防护用品符合安全作业要求；五是向作业人员说明危险因素、安全作业要求和应急措施；六是安排专门人员进行现场安全管理并确保操作规程的遵守和安全措施的落实；七是发现直接危及人身安全的紧急情况时要果断采取应急措施，停止作业并组织作业人员撤离。规范水务建设市场监管，依法严厉打击出借资质、围标串标、转包、违法分包、“挂靠”、未取得施工许可证擅自施工等违法违规行为，将有关违法违规行为作为监督检查的重要内容，对违法违规企业依法依规进行查处，强化信用监管，及时公示有关企业失信信息。</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2.持续加强水务工程运行安全保障。推进水利工程标准化建设，落实水利工程标准化管理细则及评价标准，建立长效评价机制。加快构建现代化水库运行管理矩阵，严格落实水库大坝安全责任制。加强水库库容管理和保护，严厉打击侵占防洪库容等行为。持续推动水库优化调度，科学精细开展水库调度。全面落实饮水安全管理行政主管部门行业监管责任、供水单位的运行管理责任，健全区级农村供水工程运行管理机构、运行管理办法和运行管理经费“三项制度”。健全隐患排查常态化工作机制，定期开展江河堤防、水库、水闸等工程设施隐患排查和安全鉴定，做好病险水库和病险水闸除险加固。开展堤防达标加固三年攻坚行动，对保护对象重要的、治理需求迫切的不达标江河堤防开展系统治理。加强供排水等基础设施运行维护，完善应急保障预案，做好应急物资准备，保障设施安全稳定运行；聚焦供水、排水等领域，充分运用自然灾害综合风险普查、水务基础设施普查及城市体检成果，开展安全风险评估，找准风险源，摸清风险点，分析风险成因及潜在后果，形成安全风险清单，明确重点监测区域和环节、监测对象、责任单位，运用信息技术，高标准推动水务基础设施生命线安全工程建设和风险防控及应急保障体系完善。</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3.持续加强排水防涝能力提升和应急处置。全面排查排涝通道、泵站、排水管网等排水防涝工程体系存在的过流能力“卡脖子”问题，以城市排水防涝重大项目为抓手，按照系统化、全域化推进海绵城市建设要求，加快形成“源头减排、管网排放、蓄排并举、超标应急”的城市排水防涝工程体系，全面提升城市内涝防治能力；摸清城市排水防涝应急抢险能力、队伍建设和物资储备情况，排查重点及薄弱区域防汛安全隐患及应急抢险装备物资布设情况，建立健全应急排涝工作机制，确保城市安全度汛。</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4.深入开展有限空间作业安全治理。全面摸清水务领域在建、在管项目底数，梳理台账、建档立册、定期更新，特别是对重点区域、关键环节、重大风险，做到情况清、底数明，督促水务施工或维护运营单位认真按照安全生产责任制的要求，严格落实安全防范措施，对未落实相关制度、未配置齐全安全防护用品的项目一律不允许作业，定期研判水务领域在建、在管项目安全风险，加大执法检查力度，全面开展安全隐患排查治理，对重大安全风险、重大安全隐患，“点对点”“一对一”精准帮扶落实各项安全防范措施。全面开展应急知识培训，坚决杜绝盲目施救。严格执行事故信息报送制度，确保事故发生后能及时响应、及时上报、高效处置、有力救援。</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5.进一步加强风险辨识管控和安全监管，坚决堵塞监管盲区和漏洞。严查企业“七个有没有”：一是有没有全面辨识有限空间风险，并分类分级建档立册，在所有有限空间现场醒目位置设置安全警示标志；二是有没有建立完善有限空间安全规章制度和作业流程，特别是强化作业前、作业中的通风和检测管控措施；三是有没有为员工配备个人劳动保护用品，特别是配齐配全通风检测作业仪器、呼吸器等各类应急保障用品；四是有没有落实有限空间作业中的安全监护措施，特别是按要求配备监护人员；五是有没有确保有限空间作业现场设备设施安全，特别是电气设备符合防爆、安全等规定；六是有没有严格落实有限空间作业许可申报审批管理；七是有没有定期组织员工开展常态化有限空间作业安全培训，并且有计划地开展有限空间应急救援演练。切实落实有限空间作业“七不准”（未经风险辨识不准作业；未经通风和检测合格不准作业；不佩戴劳动防护用品不准作业；没有监护不准作业；电气设备不符合规定不准作业；未经审批不准作业；未经培训演练不准作业）要求。</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6.深化违规电气焊（割）作业综合治理。严格落实“六查”制度：一查电气焊（割）作业人员是否持准入类证书上岗，证件是否合法有效；二查动火作业管理制度是否规范完善；三查动火作业审批是否严格；四查现场监督管理是否流于形式；五查安全防范措施是否到位；六查外包、分包、转包是否存在以包代管、包而不管等行为。督促指导企业全面开展电气焊（割）作业人员整顿，对无证人员，予以辞退或转岗；对持证人员，开展再教育、再培训，重点强化“四项实操”能力（作业前安全检查能力、熟练使用消防器材能力、按规程操作焊接设备能力、作业后消防检查能力），做到“五必修”（电气焊（割）作业法律法规标准、防火防爆注意事项、安全用电规定、危险化学品安全使用管理规定、事故警示教育课程）。</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7.规范外包作业安全生产管理。全面检查生产经营单位落实国家有关发包、出租等管理规定情况，杜绝将生产经营项目、场所、设备发包或者出租给不具备安全生产条件或者相应资质的单位或者个人，督促双方规范安全生产管理协议签订、落实安全检查、安全生产教育和培训等安全管理制度。</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8.持续加强燃气和消防安全管理。</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以办公楼、集体宿舍、职工食堂、文体活动场所等人员密集场所和活动板房、彩钢房等临时性建筑为重点，督促燃气使用场所安装可燃气体报警装置、保持通风、及时更新瓶装燃气钢瓶角阀等器具、合理摆放钢瓶、采取防煤气中毒预防措施。</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重点检查生产经营场所是否违规使用易燃可燃夹心板材，是否存在违规动火作业、冒险施工等行为，是否存在居住场所内生产储存、经营易燃易爆危险品的现象，是否存在电动车及蓄电池在室内停放、充电的现象，是否存在电器线路老化、私拉乱接电线现象，是否存在安全出口及疏散楼梯不足、消防通道不畅等现象，是否存在消防设施设备不能正常使用的情况，是否定期开展火灾隐患排查整治，是否定期开展消防宣传、培训及演练。</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加大对工程建设中使用不合格防火材料和设施设备等违法违规行为的排查整治力度。监督指导水务行业建设单位依法履行建设工程消防审验程序，压紧压实行业部门建设工程消防安全责任，以及相关建设单位工程质量首要责任和参建各方主体责任，构建齐抓共管新格局。建立建筑材料和设施设备防火性能进场使用检测制度机制，严厉打击进场使用防火性能不合格建筑材料和设施设备行为，完善支持防火新材料、新技术、新工艺工程应用相关政策措施。</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Style w:val="a6"/>
          <w:rFonts w:asciiTheme="minorEastAsia" w:eastAsiaTheme="minorEastAsia" w:hAnsiTheme="minorEastAsia" w:hint="eastAsia"/>
          <w:color w:val="333333"/>
        </w:rPr>
        <w:t xml:space="preserve">　　（五）强化安全生产风险预防管控</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1.全面落实水利安全生产风险管控“六项机制”。严格执行危险源辨识与风险评价技术标准，有效管控风险。局相关股室应制订实施计划，按照轻重缓急，分级分类分年度组织实施，推动管辖范围内水利工程运行和建设项目“六项机制”在2025年底前全覆盖。</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2.持续推进企业单位安全生产标准化建设。推进水利工程项目法人、水利水电施工企业、水利工程管理单位安全生产标准化达标建设，推进市政供排水工程等行业单位创建安全生产标准化工作体系，在2025年底前打造一批标杆单位，推广安全管理体系先进经验。</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Style w:val="a6"/>
          <w:rFonts w:asciiTheme="minorEastAsia" w:eastAsiaTheme="minorEastAsia" w:hAnsiTheme="minorEastAsia" w:hint="eastAsia"/>
          <w:color w:val="333333"/>
        </w:rPr>
        <w:t xml:space="preserve">　　（六）促进安全生产监管效能提升</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1.规范安全生产执法检查。加大“互联网+执法”推广应用力度，推动现场检查和线上巡查相结合，加大执法力度，持续提高执法效能。综合运用四不两直、明查暗访等方式，聚焦重大事故隐患排查整治，深入推进精准安全监管。挂牌、公布、曝光、处理一批重大事故隐患，严禁执法“宽松软虚”。对水务领域无需审批备案但具有较大安全风险的生产经营活动，完善“双随机”抽查检查工作机制和帮扶指导，严防小施工、小作业惹大事。对严重违法行为依法采取停产整顿、关闭取缔、上限处罚、联合惩戒、“一案双罚”等手段，落实行刑衔接机制，严厉打击各类违法违规行为。对发生重特大事故负有责任的企业单位主要负责人，明确终身不得担任本行业企业单位主要负责人。在2024年底前，落实省、市有关安全生产监管执法统计、执法考评和典型案例报送制度，加大“互联网+执法”推广应用力度，推动现场检查和线上巡查相结合，加大执法力度，持续提高执法效能。</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2.强化基层安全监管人员能力培训。结合我区水务工程实际，聚焦重大事故隐患排查整治，在水利系统开展形式多样的安全监管培训和执法能力培训，实现三年内全覆盖，不断提升基层水务安全监管人员和执法人员能力。</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Style w:val="a6"/>
          <w:rFonts w:asciiTheme="minorEastAsia" w:eastAsiaTheme="minorEastAsia" w:hAnsiTheme="minorEastAsia" w:hint="eastAsia"/>
          <w:color w:val="333333"/>
        </w:rPr>
        <w:t xml:space="preserve">　　（七）扎实开展安全生产宣传教育工作</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打造安全宣传教育主矩阵。聚焦“人人讲安全、个个会应急”主题和目标，持续开展水务领域安全生产月及安全生产南粤行、消防宣传月、安全宣传咨询日等活动，引导水务领域从业人员和社会群众积极践行安全的生产生活方式，大力推动安全宣传教育进企业、进农村、进社区、进学校、进家庭。全面落实“谁执法谁普法”普法责任制，深入开展安全生产法治宣传教育。推动在官网、官微等媒体开设安全生产专题栏目，定期讲解安全生产知识、介绍安全生产典型经验做法、曝光存在的突出问题，播放安全宣传片，强化典型事故警示教育。因地制宜加快水务领域安全科普宣传教育、实训教育和安全体验基地（场馆）建设，进一步丰富安全宣传教育形式。</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Style w:val="a6"/>
          <w:rFonts w:asciiTheme="minorEastAsia" w:eastAsiaTheme="minorEastAsia" w:hAnsiTheme="minorEastAsia" w:hint="eastAsia"/>
          <w:color w:val="333333"/>
        </w:rPr>
        <w:t xml:space="preserve">　　（八）加大安全生产科技支撑力度</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提升水安全风险监测预警和防御能力。加快推进智慧水利（一期）建设，推进水安全、水环境治理和排水管理模块建设，提升水旱灾害防御、水环境治理和排水管理的科学化、智能化、精细化水平。结合水旱灾害防御体系标准化建设成果，健全指挥调度、预报预警、预演预案和应急抢险保障体系，按省要求加快构建适合佛山实际的防御组合战法。</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三、保障措施</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一）加强组织领导。各镇（街道）有关部门要建立工作专班，建立完善“信息汇总、动态研判、晾晒通报、督导检查”等机制。主要负责同志要强化领导，及时动员部署，定期听取工作汇报，分管负责同志要具体推动，狠抓落实，认真研究解决安全生产问题。及时向政府分管负责同志报告情况，提出有关意见建议，确保治本攻坚三年行动取得实效。各镇（街道）有关部门、局各相关股室、区监督站要强化安全生产相关工作投入，科学合理安排预算，保障重大事故隐患排查治理及病险工程除险加固等资金。</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二）压实企业责任。各镇（街道）有关部门、局各相关股室、区监督站要督促各相关企业单位切实落实安全生产主体责任，加大安全生产投入力度，持续推进“人防、技防、工程防、管理防”等治本之策落地落实，不断提升本质安全水平；严格执行《企业安全生产费用提取和使用管理办法》，在企业绩效考核中把安全投入作为重要考核内容，严防低价中标影响企业正常安全投入。</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三）完善长效机制。各镇（街道）有关部门、局各相关股室、区监督站要以安全生产治本攻坚三年行动为契机，聚焦水务工程建设、工程运行、水务涉燃气和消防、水务涉交通、水务涉公共安全等重点领域安全生产的突出问题、深层次问题，持续完善安全生产责任体系、安全生产风险管控“六项机制”等制度措施，提升安全生产治理能力水平。</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四）加强正向激励。各镇（街道）有关部门、局各相关股室、区监督站要定期调度治本攻坚三年行动工作情况，梳理典型经验及做法，探索将有效经验转化为制度性成果。用好正向激励手段，强化正面典型引导和示范引路，通报表扬工作措施有力、成效明显的单位，以点带面推动提升整体工作水平。</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五）强化督导检查。局各有关股室要充分发挥好牵头抓总作用，统筹推进全区治本攻坚三年行动，运用“多通报、多督促、多暗访”等手段，并定期对各镇（街道）相关部门、各下属事业单位开展督导，延伸到风险最突出、基础最薄弱的基层单位，对治本工作推进不力、重大事故隐患整治不力的单位及人员，要及时进行约谈、通报、曝光，严格问责问效。</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六）抓好宣传引导。各镇（街道）有关部门及局各相关股室、区监督站要加大安全生产宣传力度，充分利用报刊、广播、电视、新媒体等形式，多层面、多渠道、全方位宣传治本攻坚三年行动的进展和成效，总结推广治本攻坚三年行动中的先进经验做法，曝光典型案例，大力开展人人都是“吹哨人”活动，营造全行业、全社会参与安全生产的良好氛围。</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七）加强数据报送。各镇（街道）有关部门、局各相关股室、区监督站应引导企业加强重大事故隐患自查上报，加强督导检查发现、群众举报查实等各渠道排查的重大事故隐患数据收集。各相关单位应委派专人负责数据报送工作，每月由局相关股室收集本行业数据并上传系统（详见附件），严格实行重大事故隐患清单制管理并根据动态更新整改落实情况，推动照单逐条整改销号。</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工程质量安全监管股：罗婉琳、李伟煊，86339616、86339642；水利规划建设股：罗志江，86226113；水环境治理股：范剑斌，86225920；水资源管理股：罗洪敏，13590625857；水利工程管理股：潘永昌，86393791；排水管理股：王志文，86395652；河湖管理股：吴云勇，13825591068；执法监察大队：黄少喜，15813385646；建筑市场监管股：李勇，86231971；区监督站：张文星，86339623。）</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r w:rsidRPr="005A7831">
        <w:rPr>
          <w:rFonts w:asciiTheme="minorEastAsia" w:eastAsiaTheme="minorEastAsia" w:hAnsiTheme="minorEastAsia" w:hint="eastAsia"/>
          <w:color w:val="333333"/>
        </w:rPr>
        <w:t xml:space="preserve">　　</w:t>
      </w:r>
    </w:p>
    <w:p w:rsidR="005A7831" w:rsidRPr="005A7831" w:rsidRDefault="005A7831" w:rsidP="005A7831">
      <w:pPr>
        <w:pStyle w:val="a5"/>
        <w:shd w:val="clear" w:color="auto" w:fill="FFFFFF"/>
        <w:spacing w:before="322" w:beforeAutospacing="0" w:after="322" w:afterAutospacing="0" w:line="360" w:lineRule="auto"/>
        <w:rPr>
          <w:rFonts w:asciiTheme="minorEastAsia" w:eastAsiaTheme="minorEastAsia" w:hAnsiTheme="minorEastAsia" w:hint="eastAsia"/>
          <w:color w:val="333333"/>
        </w:rPr>
      </w:pPr>
      <w:hyperlink r:id="rId6" w:tgtFrame="_blank" w:history="1">
        <w:r w:rsidRPr="005A7831">
          <w:rPr>
            <w:rStyle w:val="a7"/>
            <w:rFonts w:asciiTheme="minorEastAsia" w:eastAsiaTheme="minorEastAsia" w:hAnsiTheme="minorEastAsia" w:hint="eastAsia"/>
            <w:color w:val="333333"/>
          </w:rPr>
          <w:t>附件：安全生产治本攻坚三年行动（2024-2026）进展情况调度表.xlsx</w:t>
        </w:r>
      </w:hyperlink>
    </w:p>
    <w:p w:rsidR="005A7831" w:rsidRPr="005A7831" w:rsidRDefault="005A7831" w:rsidP="005A7831">
      <w:pPr>
        <w:spacing w:line="360" w:lineRule="auto"/>
        <w:rPr>
          <w:rFonts w:asciiTheme="minorEastAsia" w:hAnsiTheme="minorEastAsia"/>
          <w:sz w:val="24"/>
          <w:szCs w:val="24"/>
        </w:rPr>
      </w:pPr>
    </w:p>
    <w:sectPr w:rsidR="005A7831" w:rsidRPr="005A783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2939" w:rsidRDefault="00342939" w:rsidP="005A7831">
      <w:r>
        <w:separator/>
      </w:r>
    </w:p>
  </w:endnote>
  <w:endnote w:type="continuationSeparator" w:id="1">
    <w:p w:rsidR="00342939" w:rsidRDefault="00342939" w:rsidP="005A783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2939" w:rsidRDefault="00342939" w:rsidP="005A7831">
      <w:r>
        <w:separator/>
      </w:r>
    </w:p>
  </w:footnote>
  <w:footnote w:type="continuationSeparator" w:id="1">
    <w:p w:rsidR="00342939" w:rsidRDefault="00342939" w:rsidP="005A783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A7831"/>
    <w:rsid w:val="00342939"/>
    <w:rsid w:val="005A783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A783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A783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A7831"/>
    <w:rPr>
      <w:sz w:val="18"/>
      <w:szCs w:val="18"/>
    </w:rPr>
  </w:style>
  <w:style w:type="paragraph" w:styleId="a4">
    <w:name w:val="footer"/>
    <w:basedOn w:val="a"/>
    <w:link w:val="Char0"/>
    <w:uiPriority w:val="99"/>
    <w:semiHidden/>
    <w:unhideWhenUsed/>
    <w:rsid w:val="005A783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A7831"/>
    <w:rPr>
      <w:sz w:val="18"/>
      <w:szCs w:val="18"/>
    </w:rPr>
  </w:style>
  <w:style w:type="character" w:customStyle="1" w:styleId="1Char">
    <w:name w:val="标题 1 Char"/>
    <w:basedOn w:val="a0"/>
    <w:link w:val="1"/>
    <w:uiPriority w:val="9"/>
    <w:rsid w:val="005A7831"/>
    <w:rPr>
      <w:rFonts w:ascii="宋体" w:eastAsia="宋体" w:hAnsi="宋体" w:cs="宋体"/>
      <w:b/>
      <w:bCs/>
      <w:kern w:val="36"/>
      <w:sz w:val="48"/>
      <w:szCs w:val="48"/>
    </w:rPr>
  </w:style>
  <w:style w:type="paragraph" w:styleId="a5">
    <w:name w:val="Normal (Web)"/>
    <w:basedOn w:val="a"/>
    <w:uiPriority w:val="99"/>
    <w:semiHidden/>
    <w:unhideWhenUsed/>
    <w:rsid w:val="005A7831"/>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5A7831"/>
    <w:rPr>
      <w:b/>
      <w:bCs/>
    </w:rPr>
  </w:style>
  <w:style w:type="character" w:styleId="a7">
    <w:name w:val="Hyperlink"/>
    <w:basedOn w:val="a0"/>
    <w:uiPriority w:val="99"/>
    <w:semiHidden/>
    <w:unhideWhenUsed/>
    <w:rsid w:val="005A7831"/>
    <w:rPr>
      <w:color w:val="0000FF"/>
      <w:u w:val="single"/>
    </w:rPr>
  </w:style>
</w:styles>
</file>

<file path=word/webSettings.xml><?xml version="1.0" encoding="utf-8"?>
<w:webSettings xmlns:r="http://schemas.openxmlformats.org/officeDocument/2006/relationships" xmlns:w="http://schemas.openxmlformats.org/wordprocessingml/2006/main">
  <w:divs>
    <w:div w:id="1122500834">
      <w:bodyDiv w:val="1"/>
      <w:marLeft w:val="0"/>
      <w:marRight w:val="0"/>
      <w:marTop w:val="0"/>
      <w:marBottom w:val="0"/>
      <w:divBdr>
        <w:top w:val="none" w:sz="0" w:space="0" w:color="auto"/>
        <w:left w:val="none" w:sz="0" w:space="0" w:color="auto"/>
        <w:bottom w:val="none" w:sz="0" w:space="0" w:color="auto"/>
        <w:right w:val="none" w:sz="0" w:space="0" w:color="auto"/>
      </w:divBdr>
    </w:div>
    <w:div w:id="1239824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7/397065/5941668.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1452</Words>
  <Characters>8280</Characters>
  <Application>Microsoft Office Word</Application>
  <DocSecurity>0</DocSecurity>
  <Lines>69</Lines>
  <Paragraphs>19</Paragraphs>
  <ScaleCrop>false</ScaleCrop>
  <Company>Regaltec</Company>
  <LinksUpToDate>false</LinksUpToDate>
  <CharactersWithSpaces>9713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2024-04-09T01:57:00Z</dcterms:created>
  <dcterms:modified xsi:type="dcterms:W3CDTF">2024-04-09T01:58:00Z</dcterms:modified>
</cp:coreProperties>
</file>