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left"/>
        <w:textAlignment w:val="auto"/>
        <w:outlineLvl w:val="9"/>
        <w:rPr>
          <w:rFonts w:hint="eastAsia" w:ascii="黑体" w:hAnsi="黑体" w:eastAsia="黑体" w:cs="黑体"/>
          <w:b w:val="0"/>
          <w:bCs w:val="0"/>
          <w:color w:val="auto"/>
          <w:sz w:val="32"/>
          <w:szCs w:val="32"/>
          <w:u w:val="none"/>
          <w:vertAlign w:val="baseline"/>
          <w:lang w:val="en-US" w:eastAsia="zh-CN"/>
        </w:rPr>
      </w:pPr>
      <w:r>
        <w:rPr>
          <w:rFonts w:hint="eastAsia" w:ascii="黑体" w:hAnsi="黑体" w:eastAsia="黑体" w:cs="黑体"/>
          <w:b w:val="0"/>
          <w:bCs w:val="0"/>
          <w:color w:val="auto"/>
          <w:sz w:val="32"/>
          <w:szCs w:val="32"/>
          <w:u w:val="none"/>
          <w:vertAlign w:val="baseline"/>
          <w:lang w:val="en-US" w:eastAsia="zh-CN"/>
        </w:rPr>
        <w:t>附件3</w:t>
      </w:r>
    </w:p>
    <w:p>
      <w:pPr>
        <w:pStyle w:val="2"/>
        <w:rPr>
          <w:rFonts w:hint="eastAsia"/>
          <w:lang w:val="en-US" w:eastAsia="zh-CN"/>
        </w:rPr>
      </w:pP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84"/>
          <w:szCs w:val="84"/>
          <w:u w:val="none"/>
          <w:vertAlign w:val="baseline"/>
          <w:lang w:val="en-US" w:eastAsia="zh-CN"/>
        </w:rPr>
      </w:pPr>
      <w:bookmarkStart w:id="5" w:name="_GoBack"/>
      <w:r>
        <w:rPr>
          <w:rFonts w:hint="eastAsia" w:ascii="方正小标宋简体" w:hAnsi="方正小标宋简体" w:eastAsia="方正小标宋简体" w:cs="方正小标宋简体"/>
          <w:b w:val="0"/>
          <w:bCs w:val="0"/>
          <w:color w:val="auto"/>
          <w:sz w:val="84"/>
          <w:szCs w:val="84"/>
          <w:u w:val="none"/>
          <w:vertAlign w:val="baseline"/>
          <w:lang w:val="en-US" w:eastAsia="zh-CN"/>
        </w:rPr>
        <w:t>国务院安委会十五条措施等相关文件</w:t>
      </w:r>
      <w:r>
        <w:rPr>
          <w:rFonts w:hint="eastAsia" w:ascii="方正小标宋简体" w:hAnsi="方正小标宋简体" w:eastAsia="方正小标宋简体" w:cs="方正小标宋简体"/>
          <w:b w:val="0"/>
          <w:bCs w:val="0"/>
          <w:color w:val="auto"/>
          <w:sz w:val="84"/>
          <w:szCs w:val="84"/>
          <w:u w:val="none"/>
          <w:vertAlign w:val="baseline"/>
          <w:lang w:val="en-US" w:eastAsia="zh-CN"/>
        </w:rPr>
        <w:t>汇总</w:t>
      </w:r>
    </w:p>
    <w:bookmarkEnd w:id="5"/>
    <w:p>
      <w:pPr>
        <w:keepNext w:val="0"/>
        <w:keepLines w:val="0"/>
        <w:pageBreakBefore w:val="0"/>
        <w:widowControl w:val="0"/>
        <w:kinsoku/>
        <w:wordWrap/>
        <w:overflowPunct/>
        <w:topLinePunct w:val="0"/>
        <w:bidi w:val="0"/>
        <w:snapToGrid/>
        <w:spacing w:line="500" w:lineRule="exact"/>
        <w:ind w:right="0" w:rightChars="0"/>
        <w:jc w:val="distribute"/>
        <w:textAlignment w:val="auto"/>
        <w:rPr>
          <w:rFonts w:hint="eastAsia" w:ascii="宋体" w:hAnsi="宋体" w:eastAsia="宋体" w:cs="宋体"/>
          <w:b w:val="0"/>
          <w:bCs w:val="0"/>
          <w:color w:val="auto"/>
          <w:sz w:val="44"/>
          <w:szCs w:val="44"/>
          <w:u w:val="none"/>
          <w:vertAlign w:val="baseline"/>
          <w:lang w:val="en-US" w:eastAsia="zh-CN"/>
        </w:rPr>
      </w:pPr>
    </w:p>
    <w:p>
      <w:pPr>
        <w:pStyle w:val="2"/>
        <w:rPr>
          <w:rFonts w:hint="eastAsia" w:ascii="宋体" w:hAnsi="宋体" w:eastAsia="宋体" w:cs="宋体"/>
          <w:b w:val="0"/>
          <w:bCs w:val="0"/>
          <w:color w:val="auto"/>
          <w:sz w:val="44"/>
          <w:szCs w:val="44"/>
          <w:u w:val="none"/>
          <w:vertAlign w:val="baseline"/>
          <w:lang w:val="en-US" w:eastAsia="zh-CN"/>
        </w:rPr>
      </w:pPr>
    </w:p>
    <w:p>
      <w:pPr>
        <w:pStyle w:val="2"/>
        <w:rPr>
          <w:rFonts w:hint="eastAsia" w:ascii="宋体" w:hAnsi="宋体" w:eastAsia="宋体" w:cs="宋体"/>
          <w:b w:val="0"/>
          <w:bCs w:val="0"/>
          <w:color w:val="auto"/>
          <w:sz w:val="44"/>
          <w:szCs w:val="44"/>
          <w:u w:val="none"/>
          <w:vertAlign w:val="baseline"/>
          <w:lang w:val="en-US" w:eastAsia="zh-CN"/>
        </w:rPr>
      </w:pPr>
    </w:p>
    <w:p>
      <w:pPr>
        <w:pStyle w:val="2"/>
        <w:rPr>
          <w:rFonts w:hint="eastAsia" w:ascii="宋体" w:hAnsi="宋体" w:eastAsia="宋体" w:cs="宋体"/>
          <w:b w:val="0"/>
          <w:bCs w:val="0"/>
          <w:color w:val="auto"/>
          <w:sz w:val="44"/>
          <w:szCs w:val="44"/>
          <w:u w:val="none"/>
          <w:vertAlign w:val="baseline"/>
          <w:lang w:val="en-US" w:eastAsia="zh-CN"/>
        </w:rPr>
      </w:pPr>
    </w:p>
    <w:p>
      <w:pPr>
        <w:keepNext w:val="0"/>
        <w:keepLines w:val="0"/>
        <w:pageBreakBefore w:val="0"/>
        <w:widowControl w:val="0"/>
        <w:kinsoku/>
        <w:wordWrap/>
        <w:overflowPunct/>
        <w:topLinePunct w:val="0"/>
        <w:bidi w:val="0"/>
        <w:snapToGrid/>
        <w:spacing w:line="500" w:lineRule="exact"/>
        <w:ind w:right="0" w:rightChars="0"/>
        <w:jc w:val="distribute"/>
        <w:textAlignment w:val="auto"/>
        <w:rPr>
          <w:rFonts w:hint="eastAsia" w:ascii="宋体" w:hAnsi="宋体" w:eastAsia="宋体" w:cs="宋体"/>
          <w:b w:val="0"/>
          <w:bCs w:val="0"/>
          <w:color w:val="auto"/>
          <w:sz w:val="44"/>
          <w:szCs w:val="44"/>
          <w:u w:val="none"/>
          <w:vertAlign w:val="baseline"/>
          <w:lang w:val="en-US" w:eastAsia="zh-CN"/>
        </w:rPr>
      </w:pPr>
    </w:p>
    <w:p>
      <w:pPr>
        <w:pStyle w:val="9"/>
        <w:tabs>
          <w:tab w:val="right" w:leader="dot" w:pos="8306"/>
        </w:tabs>
        <w:rPr>
          <w:rFonts w:asciiTheme="minorHAnsi" w:hAnsiTheme="minorHAnsi" w:eastAsiaTheme="minorEastAsia" w:cstheme="minorBidi"/>
          <w:kern w:val="2"/>
          <w:sz w:val="32"/>
          <w:szCs w:val="32"/>
          <w:lang w:val="en-US" w:eastAsia="zh-CN" w:bidi="ar-SA"/>
        </w:rPr>
      </w:pPr>
      <w:r>
        <w:rPr>
          <w:rFonts w:hint="eastAsia" w:ascii="宋体" w:hAnsi="宋体" w:eastAsia="宋体" w:cs="宋体"/>
          <w:b w:val="0"/>
          <w:bCs w:val="0"/>
          <w:color w:val="auto"/>
          <w:sz w:val="32"/>
          <w:szCs w:val="32"/>
          <w:u w:val="none"/>
          <w:vertAlign w:val="baseline"/>
          <w:lang w:val="en-US" w:eastAsia="zh-CN"/>
        </w:rPr>
        <w:fldChar w:fldCharType="begin"/>
      </w:r>
      <w:r>
        <w:rPr>
          <w:rFonts w:hint="eastAsia" w:ascii="宋体" w:hAnsi="宋体" w:eastAsia="宋体" w:cs="宋体"/>
          <w:b w:val="0"/>
          <w:bCs w:val="0"/>
          <w:color w:val="auto"/>
          <w:sz w:val="32"/>
          <w:szCs w:val="32"/>
          <w:u w:val="none"/>
          <w:vertAlign w:val="baseline"/>
          <w:lang w:val="en-US" w:eastAsia="zh-CN"/>
        </w:rPr>
        <w:instrText xml:space="preserve">TOC \o "1-1" \h \u </w:instrText>
      </w:r>
      <w:r>
        <w:rPr>
          <w:rFonts w:hint="eastAsia" w:ascii="宋体" w:hAnsi="宋体" w:eastAsia="宋体" w:cs="宋体"/>
          <w:b w:val="0"/>
          <w:bCs w:val="0"/>
          <w:color w:val="auto"/>
          <w:sz w:val="32"/>
          <w:szCs w:val="32"/>
          <w:u w:val="none"/>
          <w:vertAlign w:val="baseline"/>
          <w:lang w:val="en-US" w:eastAsia="zh-CN"/>
        </w:rPr>
        <w:fldChar w:fldCharType="separate"/>
      </w:r>
      <w:r>
        <w:rPr>
          <w:rFonts w:hint="eastAsia" w:ascii="宋体" w:hAnsi="宋体" w:eastAsia="宋体" w:cs="宋体"/>
          <w:bCs w:val="0"/>
          <w:color w:val="auto"/>
          <w:kern w:val="2"/>
          <w:sz w:val="32"/>
          <w:szCs w:val="32"/>
          <w:u w:val="none"/>
          <w:vertAlign w:val="baseline"/>
          <w:lang w:val="en-US" w:eastAsia="zh-CN" w:bidi="ar-SA"/>
        </w:rPr>
        <w:fldChar w:fldCharType="begin"/>
      </w:r>
      <w:r>
        <w:rPr>
          <w:rFonts w:hint="eastAsia" w:ascii="宋体" w:hAnsi="宋体" w:eastAsia="宋体" w:cs="宋体"/>
          <w:bCs w:val="0"/>
          <w:color w:val="auto"/>
          <w:kern w:val="2"/>
          <w:sz w:val="32"/>
          <w:szCs w:val="32"/>
          <w:u w:val="none"/>
          <w:vertAlign w:val="baseline"/>
          <w:lang w:val="en-US" w:eastAsia="zh-CN" w:bidi="ar-SA"/>
        </w:rPr>
        <w:instrText xml:space="preserve"> HYPERLINK \l _Toc11146 </w:instrText>
      </w:r>
      <w:r>
        <w:rPr>
          <w:rFonts w:hint="eastAsia" w:ascii="宋体" w:hAnsi="宋体" w:eastAsia="宋体" w:cs="宋体"/>
          <w:bCs w:val="0"/>
          <w:color w:val="auto"/>
          <w:kern w:val="2"/>
          <w:sz w:val="32"/>
          <w:szCs w:val="32"/>
          <w:u w:val="none"/>
          <w:vertAlign w:val="baseline"/>
          <w:lang w:val="en-US" w:eastAsia="zh-CN" w:bidi="ar-SA"/>
        </w:rPr>
        <w:fldChar w:fldCharType="separate"/>
      </w:r>
      <w:r>
        <w:rPr>
          <w:rFonts w:hint="eastAsia" w:ascii="宋体" w:hAnsi="宋体" w:eastAsia="宋体" w:cs="宋体"/>
          <w:kern w:val="2"/>
          <w:sz w:val="32"/>
          <w:szCs w:val="32"/>
          <w:lang w:val="en-US" w:eastAsia="zh-CN" w:bidi="ar-SA"/>
        </w:rPr>
        <w:t>【</w:t>
      </w:r>
      <w:r>
        <w:rPr>
          <w:rFonts w:hint="eastAsia" w:ascii="宋体" w:hAnsi="宋体" w:eastAsia="宋体" w:cs="宋体"/>
          <w:bCs w:val="0"/>
          <w:kern w:val="2"/>
          <w:sz w:val="32"/>
          <w:szCs w:val="32"/>
          <w:vertAlign w:val="baseline"/>
          <w:lang w:val="en-US" w:eastAsia="zh-CN" w:bidi="ar-SA"/>
        </w:rPr>
        <w:t>国务院安委会十五条措施</w:t>
      </w:r>
      <w:r>
        <w:rPr>
          <w:rFonts w:hint="eastAsia" w:ascii="宋体" w:hAnsi="宋体" w:eastAsia="宋体" w:cs="宋体"/>
          <w:kern w:val="2"/>
          <w:sz w:val="32"/>
          <w:szCs w:val="32"/>
          <w:lang w:val="en-US" w:eastAsia="zh-CN" w:bidi="ar-SA"/>
        </w:rPr>
        <w:t>】</w:t>
      </w:r>
      <w:r>
        <w:rPr>
          <w:rFonts w:asciiTheme="minorHAnsi" w:hAnsiTheme="minorHAnsi" w:eastAsiaTheme="minorEastAsia" w:cstheme="minorBidi"/>
          <w:kern w:val="2"/>
          <w:sz w:val="32"/>
          <w:szCs w:val="32"/>
          <w:lang w:val="en-US" w:eastAsia="zh-CN" w:bidi="ar-SA"/>
        </w:rPr>
        <w:tab/>
      </w:r>
      <w:r>
        <w:rPr>
          <w:rFonts w:asciiTheme="minorHAnsi" w:hAnsiTheme="minorHAnsi" w:eastAsiaTheme="minorEastAsia" w:cstheme="minorBidi"/>
          <w:kern w:val="2"/>
          <w:sz w:val="32"/>
          <w:szCs w:val="32"/>
          <w:lang w:val="en-US" w:eastAsia="zh-CN" w:bidi="ar-SA"/>
        </w:rPr>
        <w:fldChar w:fldCharType="begin"/>
      </w:r>
      <w:r>
        <w:rPr>
          <w:rFonts w:asciiTheme="minorHAnsi" w:hAnsiTheme="minorHAnsi" w:eastAsiaTheme="minorEastAsia" w:cstheme="minorBidi"/>
          <w:kern w:val="2"/>
          <w:sz w:val="32"/>
          <w:szCs w:val="32"/>
          <w:lang w:val="en-US" w:eastAsia="zh-CN" w:bidi="ar-SA"/>
        </w:rPr>
        <w:instrText xml:space="preserve"> PAGEREF _Toc11146 </w:instrText>
      </w:r>
      <w:r>
        <w:rPr>
          <w:rFonts w:asciiTheme="minorHAnsi" w:hAnsiTheme="minorHAnsi" w:eastAsiaTheme="minorEastAsia" w:cstheme="minorBidi"/>
          <w:kern w:val="2"/>
          <w:sz w:val="32"/>
          <w:szCs w:val="32"/>
          <w:lang w:val="en-US" w:eastAsia="zh-CN" w:bidi="ar-SA"/>
        </w:rPr>
        <w:fldChar w:fldCharType="separate"/>
      </w:r>
      <w:r>
        <w:rPr>
          <w:rFonts w:asciiTheme="minorHAnsi" w:hAnsiTheme="minorHAnsi" w:eastAsiaTheme="minorEastAsia" w:cstheme="minorBidi"/>
          <w:kern w:val="2"/>
          <w:sz w:val="32"/>
          <w:szCs w:val="32"/>
          <w:lang w:val="en-US" w:eastAsia="zh-CN" w:bidi="ar-SA"/>
        </w:rPr>
        <w:t>3</w:t>
      </w:r>
      <w:r>
        <w:rPr>
          <w:rFonts w:asciiTheme="minorHAnsi" w:hAnsiTheme="minorHAnsi" w:eastAsiaTheme="minorEastAsia" w:cstheme="minorBidi"/>
          <w:kern w:val="2"/>
          <w:sz w:val="32"/>
          <w:szCs w:val="32"/>
          <w:lang w:val="en-US" w:eastAsia="zh-CN" w:bidi="ar-SA"/>
        </w:rPr>
        <w:fldChar w:fldCharType="end"/>
      </w:r>
      <w:r>
        <w:rPr>
          <w:rFonts w:hint="eastAsia" w:ascii="宋体" w:hAnsi="宋体" w:eastAsia="宋体" w:cs="宋体"/>
          <w:bCs w:val="0"/>
          <w:color w:val="auto"/>
          <w:kern w:val="2"/>
          <w:sz w:val="32"/>
          <w:szCs w:val="32"/>
          <w:u w:val="none"/>
          <w:vertAlign w:val="baseline"/>
          <w:lang w:val="en-US" w:eastAsia="zh-CN" w:bidi="ar-SA"/>
        </w:rPr>
        <w:fldChar w:fldCharType="end"/>
      </w:r>
    </w:p>
    <w:p>
      <w:pPr>
        <w:pStyle w:val="9"/>
        <w:tabs>
          <w:tab w:val="right" w:leader="dot" w:pos="8306"/>
        </w:tabs>
        <w:rPr>
          <w:rFonts w:asciiTheme="minorHAnsi" w:hAnsiTheme="minorHAnsi" w:eastAsiaTheme="minorEastAsia" w:cstheme="minorBidi"/>
          <w:kern w:val="2"/>
          <w:sz w:val="32"/>
          <w:szCs w:val="32"/>
          <w:lang w:val="en-US" w:eastAsia="zh-CN" w:bidi="ar-SA"/>
        </w:rPr>
      </w:pPr>
      <w:r>
        <w:rPr>
          <w:rFonts w:hint="eastAsia" w:ascii="宋体" w:hAnsi="宋体" w:eastAsia="宋体" w:cs="宋体"/>
          <w:bCs w:val="0"/>
          <w:color w:val="auto"/>
          <w:kern w:val="2"/>
          <w:sz w:val="32"/>
          <w:szCs w:val="32"/>
          <w:u w:val="none"/>
          <w:vertAlign w:val="baseline"/>
          <w:lang w:val="en-US" w:eastAsia="zh-CN" w:bidi="ar-SA"/>
        </w:rPr>
        <w:fldChar w:fldCharType="begin"/>
      </w:r>
      <w:r>
        <w:rPr>
          <w:rFonts w:hint="eastAsia" w:ascii="宋体" w:hAnsi="宋体" w:eastAsia="宋体" w:cs="宋体"/>
          <w:bCs w:val="0"/>
          <w:color w:val="auto"/>
          <w:kern w:val="2"/>
          <w:sz w:val="32"/>
          <w:szCs w:val="32"/>
          <w:u w:val="none"/>
          <w:vertAlign w:val="baseline"/>
          <w:lang w:val="en-US" w:eastAsia="zh-CN" w:bidi="ar-SA"/>
        </w:rPr>
        <w:instrText xml:space="preserve"> HYPERLINK \l _Toc30707 </w:instrText>
      </w:r>
      <w:r>
        <w:rPr>
          <w:rFonts w:hint="eastAsia" w:ascii="宋体" w:hAnsi="宋体" w:eastAsia="宋体" w:cs="宋体"/>
          <w:bCs w:val="0"/>
          <w:color w:val="auto"/>
          <w:kern w:val="2"/>
          <w:sz w:val="32"/>
          <w:szCs w:val="32"/>
          <w:u w:val="none"/>
          <w:vertAlign w:val="baseline"/>
          <w:lang w:val="en-US" w:eastAsia="zh-CN" w:bidi="ar-SA"/>
        </w:rPr>
        <w:fldChar w:fldCharType="separate"/>
      </w:r>
      <w:r>
        <w:rPr>
          <w:rFonts w:hint="eastAsia" w:ascii="宋体" w:hAnsi="宋体" w:eastAsia="宋体" w:cs="宋体"/>
          <w:bCs w:val="0"/>
          <w:kern w:val="2"/>
          <w:sz w:val="32"/>
          <w:szCs w:val="32"/>
          <w:vertAlign w:val="baseline"/>
          <w:lang w:val="en-US" w:eastAsia="zh-CN" w:bidi="ar-SA"/>
        </w:rPr>
        <w:t>【广东省安全生产“65条”措施】</w:t>
      </w:r>
      <w:r>
        <w:rPr>
          <w:rFonts w:asciiTheme="minorHAnsi" w:hAnsiTheme="minorHAnsi" w:eastAsiaTheme="minorEastAsia" w:cstheme="minorBidi"/>
          <w:kern w:val="2"/>
          <w:sz w:val="32"/>
          <w:szCs w:val="32"/>
          <w:lang w:val="en-US" w:eastAsia="zh-CN" w:bidi="ar-SA"/>
        </w:rPr>
        <w:tab/>
      </w:r>
      <w:r>
        <w:rPr>
          <w:rFonts w:asciiTheme="minorHAnsi" w:hAnsiTheme="minorHAnsi" w:eastAsiaTheme="minorEastAsia" w:cstheme="minorBidi"/>
          <w:kern w:val="2"/>
          <w:sz w:val="32"/>
          <w:szCs w:val="32"/>
          <w:lang w:val="en-US" w:eastAsia="zh-CN" w:bidi="ar-SA"/>
        </w:rPr>
        <w:fldChar w:fldCharType="begin"/>
      </w:r>
      <w:r>
        <w:rPr>
          <w:rFonts w:asciiTheme="minorHAnsi" w:hAnsiTheme="minorHAnsi" w:eastAsiaTheme="minorEastAsia" w:cstheme="minorBidi"/>
          <w:kern w:val="2"/>
          <w:sz w:val="32"/>
          <w:szCs w:val="32"/>
          <w:lang w:val="en-US" w:eastAsia="zh-CN" w:bidi="ar-SA"/>
        </w:rPr>
        <w:instrText xml:space="preserve"> PAGEREF _Toc30707 </w:instrText>
      </w:r>
      <w:r>
        <w:rPr>
          <w:rFonts w:asciiTheme="minorHAnsi" w:hAnsiTheme="minorHAnsi" w:eastAsiaTheme="minorEastAsia" w:cstheme="minorBidi"/>
          <w:kern w:val="2"/>
          <w:sz w:val="32"/>
          <w:szCs w:val="32"/>
          <w:lang w:val="en-US" w:eastAsia="zh-CN" w:bidi="ar-SA"/>
        </w:rPr>
        <w:fldChar w:fldCharType="separate"/>
      </w:r>
      <w:r>
        <w:rPr>
          <w:rFonts w:asciiTheme="minorHAnsi" w:hAnsiTheme="minorHAnsi" w:eastAsiaTheme="minorEastAsia" w:cstheme="minorBidi"/>
          <w:kern w:val="2"/>
          <w:sz w:val="32"/>
          <w:szCs w:val="32"/>
          <w:lang w:val="en-US" w:eastAsia="zh-CN" w:bidi="ar-SA"/>
        </w:rPr>
        <w:t>8</w:t>
      </w:r>
      <w:r>
        <w:rPr>
          <w:rFonts w:asciiTheme="minorHAnsi" w:hAnsiTheme="minorHAnsi" w:eastAsiaTheme="minorEastAsia" w:cstheme="minorBidi"/>
          <w:kern w:val="2"/>
          <w:sz w:val="32"/>
          <w:szCs w:val="32"/>
          <w:lang w:val="en-US" w:eastAsia="zh-CN" w:bidi="ar-SA"/>
        </w:rPr>
        <w:fldChar w:fldCharType="end"/>
      </w:r>
      <w:r>
        <w:rPr>
          <w:rFonts w:hint="eastAsia" w:ascii="宋体" w:hAnsi="宋体" w:eastAsia="宋体" w:cs="宋体"/>
          <w:bCs w:val="0"/>
          <w:color w:val="auto"/>
          <w:kern w:val="2"/>
          <w:sz w:val="32"/>
          <w:szCs w:val="32"/>
          <w:u w:val="none"/>
          <w:vertAlign w:val="baseline"/>
          <w:lang w:val="en-US" w:eastAsia="zh-CN" w:bidi="ar-SA"/>
        </w:rPr>
        <w:fldChar w:fldCharType="end"/>
      </w:r>
    </w:p>
    <w:p>
      <w:pPr>
        <w:pStyle w:val="9"/>
        <w:tabs>
          <w:tab w:val="right" w:leader="dot" w:pos="8306"/>
        </w:tabs>
        <w:rPr>
          <w:rFonts w:asciiTheme="minorHAnsi" w:hAnsiTheme="minorHAnsi" w:eastAsiaTheme="minorEastAsia" w:cstheme="minorBidi"/>
          <w:kern w:val="2"/>
          <w:sz w:val="32"/>
          <w:szCs w:val="32"/>
          <w:lang w:val="en-US" w:eastAsia="zh-CN" w:bidi="ar-SA"/>
        </w:rPr>
      </w:pPr>
      <w:r>
        <w:rPr>
          <w:rFonts w:hint="eastAsia" w:ascii="宋体" w:hAnsi="宋体" w:eastAsia="宋体" w:cs="宋体"/>
          <w:bCs w:val="0"/>
          <w:color w:val="auto"/>
          <w:kern w:val="2"/>
          <w:sz w:val="32"/>
          <w:szCs w:val="32"/>
          <w:u w:val="none"/>
          <w:vertAlign w:val="baseline"/>
          <w:lang w:val="en-US" w:eastAsia="zh-CN" w:bidi="ar-SA"/>
        </w:rPr>
        <w:fldChar w:fldCharType="begin"/>
      </w:r>
      <w:r>
        <w:rPr>
          <w:rFonts w:hint="eastAsia" w:ascii="宋体" w:hAnsi="宋体" w:eastAsia="宋体" w:cs="宋体"/>
          <w:bCs w:val="0"/>
          <w:color w:val="auto"/>
          <w:kern w:val="2"/>
          <w:sz w:val="32"/>
          <w:szCs w:val="32"/>
          <w:u w:val="none"/>
          <w:vertAlign w:val="baseline"/>
          <w:lang w:val="en-US" w:eastAsia="zh-CN" w:bidi="ar-SA"/>
        </w:rPr>
        <w:instrText xml:space="preserve"> HYPERLINK \l _Toc31932 </w:instrText>
      </w:r>
      <w:r>
        <w:rPr>
          <w:rFonts w:hint="eastAsia" w:ascii="宋体" w:hAnsi="宋体" w:eastAsia="宋体" w:cs="宋体"/>
          <w:bCs w:val="0"/>
          <w:color w:val="auto"/>
          <w:kern w:val="2"/>
          <w:sz w:val="32"/>
          <w:szCs w:val="32"/>
          <w:u w:val="none"/>
          <w:vertAlign w:val="baseline"/>
          <w:lang w:val="en-US" w:eastAsia="zh-CN" w:bidi="ar-SA"/>
        </w:rPr>
        <w:fldChar w:fldCharType="separate"/>
      </w:r>
      <w:r>
        <w:rPr>
          <w:rFonts w:hint="eastAsia" w:ascii="宋体" w:hAnsi="宋体" w:eastAsia="宋体" w:cs="宋体"/>
          <w:bCs w:val="0"/>
          <w:kern w:val="2"/>
          <w:sz w:val="32"/>
          <w:szCs w:val="32"/>
          <w:vertAlign w:val="baseline"/>
          <w:lang w:val="en-US" w:eastAsia="zh-CN" w:bidi="ar-SA"/>
        </w:rPr>
        <w:t>【佛山市安全生产“88条”措施】</w:t>
      </w:r>
      <w:r>
        <w:rPr>
          <w:rFonts w:asciiTheme="minorHAnsi" w:hAnsiTheme="minorHAnsi" w:eastAsiaTheme="minorEastAsia" w:cstheme="minorBidi"/>
          <w:kern w:val="2"/>
          <w:sz w:val="32"/>
          <w:szCs w:val="32"/>
          <w:lang w:val="en-US" w:eastAsia="zh-CN" w:bidi="ar-SA"/>
        </w:rPr>
        <w:tab/>
      </w:r>
      <w:r>
        <w:rPr>
          <w:rFonts w:asciiTheme="minorHAnsi" w:hAnsiTheme="minorHAnsi" w:eastAsiaTheme="minorEastAsia" w:cstheme="minorBidi"/>
          <w:kern w:val="2"/>
          <w:sz w:val="32"/>
          <w:szCs w:val="32"/>
          <w:lang w:val="en-US" w:eastAsia="zh-CN" w:bidi="ar-SA"/>
        </w:rPr>
        <w:fldChar w:fldCharType="begin"/>
      </w:r>
      <w:r>
        <w:rPr>
          <w:rFonts w:asciiTheme="minorHAnsi" w:hAnsiTheme="minorHAnsi" w:eastAsiaTheme="minorEastAsia" w:cstheme="minorBidi"/>
          <w:kern w:val="2"/>
          <w:sz w:val="32"/>
          <w:szCs w:val="32"/>
          <w:lang w:val="en-US" w:eastAsia="zh-CN" w:bidi="ar-SA"/>
        </w:rPr>
        <w:instrText xml:space="preserve"> PAGEREF _Toc31932 </w:instrText>
      </w:r>
      <w:r>
        <w:rPr>
          <w:rFonts w:asciiTheme="minorHAnsi" w:hAnsiTheme="minorHAnsi" w:eastAsiaTheme="minorEastAsia" w:cstheme="minorBidi"/>
          <w:kern w:val="2"/>
          <w:sz w:val="32"/>
          <w:szCs w:val="32"/>
          <w:lang w:val="en-US" w:eastAsia="zh-CN" w:bidi="ar-SA"/>
        </w:rPr>
        <w:fldChar w:fldCharType="separate"/>
      </w:r>
      <w:r>
        <w:rPr>
          <w:rFonts w:asciiTheme="minorHAnsi" w:hAnsiTheme="minorHAnsi" w:eastAsiaTheme="minorEastAsia" w:cstheme="minorBidi"/>
          <w:kern w:val="2"/>
          <w:sz w:val="32"/>
          <w:szCs w:val="32"/>
          <w:lang w:val="en-US" w:eastAsia="zh-CN" w:bidi="ar-SA"/>
        </w:rPr>
        <w:t>19</w:t>
      </w:r>
      <w:r>
        <w:rPr>
          <w:rFonts w:asciiTheme="minorHAnsi" w:hAnsiTheme="minorHAnsi" w:eastAsiaTheme="minorEastAsia" w:cstheme="minorBidi"/>
          <w:kern w:val="2"/>
          <w:sz w:val="32"/>
          <w:szCs w:val="32"/>
          <w:lang w:val="en-US" w:eastAsia="zh-CN" w:bidi="ar-SA"/>
        </w:rPr>
        <w:fldChar w:fldCharType="end"/>
      </w:r>
      <w:r>
        <w:rPr>
          <w:rFonts w:hint="eastAsia" w:ascii="宋体" w:hAnsi="宋体" w:eastAsia="宋体" w:cs="宋体"/>
          <w:bCs w:val="0"/>
          <w:color w:val="auto"/>
          <w:kern w:val="2"/>
          <w:sz w:val="32"/>
          <w:szCs w:val="32"/>
          <w:u w:val="none"/>
          <w:vertAlign w:val="baseline"/>
          <w:lang w:val="en-US" w:eastAsia="zh-CN" w:bidi="ar-SA"/>
        </w:rPr>
        <w:fldChar w:fldCharType="end"/>
      </w:r>
    </w:p>
    <w:p>
      <w:pPr>
        <w:pStyle w:val="9"/>
        <w:tabs>
          <w:tab w:val="right" w:leader="dot" w:pos="8306"/>
        </w:tabs>
        <w:rPr>
          <w:rFonts w:asciiTheme="minorHAnsi" w:hAnsiTheme="minorHAnsi" w:eastAsiaTheme="minorEastAsia" w:cstheme="minorBidi"/>
          <w:kern w:val="2"/>
          <w:sz w:val="32"/>
          <w:szCs w:val="32"/>
          <w:lang w:val="en-US" w:eastAsia="zh-CN" w:bidi="ar-SA"/>
        </w:rPr>
      </w:pPr>
      <w:r>
        <w:rPr>
          <w:rFonts w:hint="eastAsia" w:ascii="宋体" w:hAnsi="宋体" w:eastAsia="宋体" w:cs="宋体"/>
          <w:bCs w:val="0"/>
          <w:color w:val="auto"/>
          <w:kern w:val="2"/>
          <w:sz w:val="32"/>
          <w:szCs w:val="32"/>
          <w:u w:val="none"/>
          <w:vertAlign w:val="baseline"/>
          <w:lang w:val="en-US" w:eastAsia="zh-CN" w:bidi="ar-SA"/>
        </w:rPr>
        <w:fldChar w:fldCharType="begin"/>
      </w:r>
      <w:r>
        <w:rPr>
          <w:rFonts w:hint="eastAsia" w:ascii="宋体" w:hAnsi="宋体" w:eastAsia="宋体" w:cs="宋体"/>
          <w:bCs w:val="0"/>
          <w:color w:val="auto"/>
          <w:kern w:val="2"/>
          <w:sz w:val="32"/>
          <w:szCs w:val="32"/>
          <w:u w:val="none"/>
          <w:vertAlign w:val="baseline"/>
          <w:lang w:val="en-US" w:eastAsia="zh-CN" w:bidi="ar-SA"/>
        </w:rPr>
        <w:instrText xml:space="preserve"> HYPERLINK \l _Toc17797 </w:instrText>
      </w:r>
      <w:r>
        <w:rPr>
          <w:rFonts w:hint="eastAsia" w:ascii="宋体" w:hAnsi="宋体" w:eastAsia="宋体" w:cs="宋体"/>
          <w:bCs w:val="0"/>
          <w:color w:val="auto"/>
          <w:kern w:val="2"/>
          <w:sz w:val="32"/>
          <w:szCs w:val="32"/>
          <w:u w:val="none"/>
          <w:vertAlign w:val="baseline"/>
          <w:lang w:val="en-US" w:eastAsia="zh-CN" w:bidi="ar-SA"/>
        </w:rPr>
        <w:fldChar w:fldCharType="separate"/>
      </w:r>
      <w:r>
        <w:rPr>
          <w:rFonts w:hint="eastAsia" w:ascii="宋体" w:hAnsi="宋体" w:eastAsia="宋体" w:cs="宋体"/>
          <w:bCs w:val="0"/>
          <w:kern w:val="2"/>
          <w:sz w:val="32"/>
          <w:szCs w:val="32"/>
          <w:vertAlign w:val="baseline"/>
          <w:lang w:val="en-US" w:eastAsia="zh-CN" w:bidi="ar-SA"/>
        </w:rPr>
        <w:t>【市水利局安全生产“60条”措施】</w:t>
      </w:r>
      <w:r>
        <w:rPr>
          <w:rFonts w:asciiTheme="minorHAnsi" w:hAnsiTheme="minorHAnsi" w:eastAsiaTheme="minorEastAsia" w:cstheme="minorBidi"/>
          <w:kern w:val="2"/>
          <w:sz w:val="32"/>
          <w:szCs w:val="32"/>
          <w:lang w:val="en-US" w:eastAsia="zh-CN" w:bidi="ar-SA"/>
        </w:rPr>
        <w:tab/>
      </w:r>
      <w:r>
        <w:rPr>
          <w:rFonts w:asciiTheme="minorHAnsi" w:hAnsiTheme="minorHAnsi" w:eastAsiaTheme="minorEastAsia" w:cstheme="minorBidi"/>
          <w:kern w:val="2"/>
          <w:sz w:val="32"/>
          <w:szCs w:val="32"/>
          <w:lang w:val="en-US" w:eastAsia="zh-CN" w:bidi="ar-SA"/>
        </w:rPr>
        <w:fldChar w:fldCharType="begin"/>
      </w:r>
      <w:r>
        <w:rPr>
          <w:rFonts w:asciiTheme="minorHAnsi" w:hAnsiTheme="minorHAnsi" w:eastAsiaTheme="minorEastAsia" w:cstheme="minorBidi"/>
          <w:kern w:val="2"/>
          <w:sz w:val="32"/>
          <w:szCs w:val="32"/>
          <w:lang w:val="en-US" w:eastAsia="zh-CN" w:bidi="ar-SA"/>
        </w:rPr>
        <w:instrText xml:space="preserve"> PAGEREF _Toc17797 </w:instrText>
      </w:r>
      <w:r>
        <w:rPr>
          <w:rFonts w:asciiTheme="minorHAnsi" w:hAnsiTheme="minorHAnsi" w:eastAsiaTheme="minorEastAsia" w:cstheme="minorBidi"/>
          <w:kern w:val="2"/>
          <w:sz w:val="32"/>
          <w:szCs w:val="32"/>
          <w:lang w:val="en-US" w:eastAsia="zh-CN" w:bidi="ar-SA"/>
        </w:rPr>
        <w:fldChar w:fldCharType="separate"/>
      </w:r>
      <w:r>
        <w:rPr>
          <w:rFonts w:asciiTheme="minorHAnsi" w:hAnsiTheme="minorHAnsi" w:eastAsiaTheme="minorEastAsia" w:cstheme="minorBidi"/>
          <w:kern w:val="2"/>
          <w:sz w:val="32"/>
          <w:szCs w:val="32"/>
          <w:lang w:val="en-US" w:eastAsia="zh-CN" w:bidi="ar-SA"/>
        </w:rPr>
        <w:t>34</w:t>
      </w:r>
      <w:r>
        <w:rPr>
          <w:rFonts w:asciiTheme="minorHAnsi" w:hAnsiTheme="minorHAnsi" w:eastAsiaTheme="minorEastAsia" w:cstheme="minorBidi"/>
          <w:kern w:val="2"/>
          <w:sz w:val="32"/>
          <w:szCs w:val="32"/>
          <w:lang w:val="en-US" w:eastAsia="zh-CN" w:bidi="ar-SA"/>
        </w:rPr>
        <w:fldChar w:fldCharType="end"/>
      </w:r>
      <w:r>
        <w:rPr>
          <w:rFonts w:hint="eastAsia" w:ascii="宋体" w:hAnsi="宋体" w:eastAsia="宋体" w:cs="宋体"/>
          <w:bCs w:val="0"/>
          <w:color w:val="auto"/>
          <w:kern w:val="2"/>
          <w:sz w:val="32"/>
          <w:szCs w:val="32"/>
          <w:u w:val="none"/>
          <w:vertAlign w:val="baseline"/>
          <w:lang w:val="en-US" w:eastAsia="zh-CN" w:bidi="ar-SA"/>
        </w:rPr>
        <w:fldChar w:fldCharType="end"/>
      </w:r>
    </w:p>
    <w:p>
      <w:pPr>
        <w:pStyle w:val="9"/>
        <w:tabs>
          <w:tab w:val="right" w:leader="dot" w:pos="8306"/>
        </w:tabs>
        <w:rPr>
          <w:rFonts w:asciiTheme="minorHAnsi" w:hAnsiTheme="minorHAnsi" w:eastAsiaTheme="minorEastAsia" w:cstheme="minorBidi"/>
          <w:kern w:val="2"/>
          <w:sz w:val="32"/>
          <w:szCs w:val="32"/>
          <w:lang w:val="en-US" w:eastAsia="zh-CN" w:bidi="ar-SA"/>
        </w:rPr>
      </w:pPr>
      <w:r>
        <w:rPr>
          <w:rFonts w:hint="eastAsia" w:ascii="宋体" w:hAnsi="宋体" w:eastAsia="宋体" w:cs="宋体"/>
          <w:bCs w:val="0"/>
          <w:color w:val="auto"/>
          <w:kern w:val="2"/>
          <w:sz w:val="32"/>
          <w:szCs w:val="32"/>
          <w:u w:val="none"/>
          <w:vertAlign w:val="baseline"/>
          <w:lang w:val="en-US" w:eastAsia="zh-CN" w:bidi="ar-SA"/>
        </w:rPr>
        <w:fldChar w:fldCharType="begin"/>
      </w:r>
      <w:r>
        <w:rPr>
          <w:rFonts w:hint="eastAsia" w:ascii="宋体" w:hAnsi="宋体" w:eastAsia="宋体" w:cs="宋体"/>
          <w:bCs w:val="0"/>
          <w:color w:val="auto"/>
          <w:kern w:val="2"/>
          <w:sz w:val="32"/>
          <w:szCs w:val="32"/>
          <w:u w:val="none"/>
          <w:vertAlign w:val="baseline"/>
          <w:lang w:val="en-US" w:eastAsia="zh-CN" w:bidi="ar-SA"/>
        </w:rPr>
        <w:instrText xml:space="preserve"> HYPERLINK \l _Toc26154 </w:instrText>
      </w:r>
      <w:r>
        <w:rPr>
          <w:rFonts w:hint="eastAsia" w:ascii="宋体" w:hAnsi="宋体" w:eastAsia="宋体" w:cs="宋体"/>
          <w:bCs w:val="0"/>
          <w:color w:val="auto"/>
          <w:kern w:val="2"/>
          <w:sz w:val="32"/>
          <w:szCs w:val="32"/>
          <w:u w:val="none"/>
          <w:vertAlign w:val="baseline"/>
          <w:lang w:val="en-US" w:eastAsia="zh-CN" w:bidi="ar-SA"/>
        </w:rPr>
        <w:fldChar w:fldCharType="separate"/>
      </w:r>
      <w:r>
        <w:rPr>
          <w:rFonts w:hint="eastAsia" w:ascii="宋体" w:hAnsi="宋体" w:eastAsia="宋体" w:cs="宋体"/>
          <w:bCs w:val="0"/>
          <w:kern w:val="2"/>
          <w:sz w:val="32"/>
          <w:szCs w:val="32"/>
          <w:vertAlign w:val="baseline"/>
          <w:lang w:val="en-US" w:eastAsia="zh-CN" w:bidi="ar-SA"/>
        </w:rPr>
        <w:t>【南海区“十五条”重要措施实施细则】</w:t>
      </w:r>
      <w:r>
        <w:rPr>
          <w:rFonts w:asciiTheme="minorHAnsi" w:hAnsiTheme="minorHAnsi" w:eastAsiaTheme="minorEastAsia" w:cstheme="minorBidi"/>
          <w:kern w:val="2"/>
          <w:sz w:val="32"/>
          <w:szCs w:val="32"/>
          <w:lang w:val="en-US" w:eastAsia="zh-CN" w:bidi="ar-SA"/>
        </w:rPr>
        <w:tab/>
      </w:r>
      <w:r>
        <w:rPr>
          <w:rFonts w:asciiTheme="minorHAnsi" w:hAnsiTheme="minorHAnsi" w:eastAsiaTheme="minorEastAsia" w:cstheme="minorBidi"/>
          <w:kern w:val="2"/>
          <w:sz w:val="32"/>
          <w:szCs w:val="32"/>
          <w:lang w:val="en-US" w:eastAsia="zh-CN" w:bidi="ar-SA"/>
        </w:rPr>
        <w:fldChar w:fldCharType="begin"/>
      </w:r>
      <w:r>
        <w:rPr>
          <w:rFonts w:asciiTheme="minorHAnsi" w:hAnsiTheme="minorHAnsi" w:eastAsiaTheme="minorEastAsia" w:cstheme="minorBidi"/>
          <w:kern w:val="2"/>
          <w:sz w:val="32"/>
          <w:szCs w:val="32"/>
          <w:lang w:val="en-US" w:eastAsia="zh-CN" w:bidi="ar-SA"/>
        </w:rPr>
        <w:instrText xml:space="preserve"> PAGEREF _Toc26154 </w:instrText>
      </w:r>
      <w:r>
        <w:rPr>
          <w:rFonts w:asciiTheme="minorHAnsi" w:hAnsiTheme="minorHAnsi" w:eastAsiaTheme="minorEastAsia" w:cstheme="minorBidi"/>
          <w:kern w:val="2"/>
          <w:sz w:val="32"/>
          <w:szCs w:val="32"/>
          <w:lang w:val="en-US" w:eastAsia="zh-CN" w:bidi="ar-SA"/>
        </w:rPr>
        <w:fldChar w:fldCharType="separate"/>
      </w:r>
      <w:r>
        <w:rPr>
          <w:rFonts w:asciiTheme="minorHAnsi" w:hAnsiTheme="minorHAnsi" w:eastAsiaTheme="minorEastAsia" w:cstheme="minorBidi"/>
          <w:kern w:val="2"/>
          <w:sz w:val="32"/>
          <w:szCs w:val="32"/>
          <w:lang w:val="en-US" w:eastAsia="zh-CN" w:bidi="ar-SA"/>
        </w:rPr>
        <w:t>45</w:t>
      </w:r>
      <w:r>
        <w:rPr>
          <w:rFonts w:asciiTheme="minorHAnsi" w:hAnsiTheme="minorHAnsi" w:eastAsiaTheme="minorEastAsia" w:cstheme="minorBidi"/>
          <w:kern w:val="2"/>
          <w:sz w:val="32"/>
          <w:szCs w:val="32"/>
          <w:lang w:val="en-US" w:eastAsia="zh-CN" w:bidi="ar-SA"/>
        </w:rPr>
        <w:fldChar w:fldCharType="end"/>
      </w:r>
      <w:r>
        <w:rPr>
          <w:rFonts w:hint="eastAsia" w:ascii="宋体" w:hAnsi="宋体" w:eastAsia="宋体" w:cs="宋体"/>
          <w:bCs w:val="0"/>
          <w:color w:val="auto"/>
          <w:kern w:val="2"/>
          <w:sz w:val="32"/>
          <w:szCs w:val="32"/>
          <w:u w:val="none"/>
          <w:vertAlign w:val="baseline"/>
          <w:lang w:val="en-US" w:eastAsia="zh-CN" w:bidi="ar-SA"/>
        </w:rPr>
        <w:fldChar w:fldCharType="end"/>
      </w: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b w:val="0"/>
          <w:bCs w:val="0"/>
          <w:color w:val="auto"/>
          <w:sz w:val="32"/>
          <w:szCs w:val="32"/>
          <w:u w:val="none"/>
          <w:vertAlign w:val="baseline"/>
          <w:lang w:val="en-US" w:eastAsia="zh-CN"/>
        </w:rPr>
      </w:pPr>
      <w:r>
        <w:rPr>
          <w:rFonts w:hint="eastAsia" w:ascii="宋体" w:hAnsi="宋体" w:eastAsia="宋体" w:cs="宋体"/>
          <w:bCs w:val="0"/>
          <w:color w:val="auto"/>
          <w:kern w:val="2"/>
          <w:sz w:val="32"/>
          <w:szCs w:val="32"/>
          <w:u w:val="none"/>
          <w:vertAlign w:val="baseline"/>
          <w:lang w:val="en-US" w:eastAsia="zh-CN" w:bidi="ar-SA"/>
        </w:rPr>
        <w:fldChar w:fldCharType="end"/>
      </w: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b w:val="0"/>
          <w:bCs w:val="0"/>
          <w:color w:val="auto"/>
          <w:sz w:val="44"/>
          <w:szCs w:val="44"/>
          <w:u w:val="none"/>
          <w:vertAlign w:val="baseline"/>
          <w:lang w:val="en-US"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p>
    <w:p>
      <w:pPr>
        <w:keepNext w:val="0"/>
        <w:keepLines w:val="0"/>
        <w:pageBreakBefore w:val="0"/>
        <w:widowControl w:val="0"/>
        <w:kinsoku/>
        <w:wordWrap/>
        <w:overflowPunct/>
        <w:topLinePunct w:val="0"/>
        <w:bidi w:val="0"/>
        <w:snapToGrid/>
        <w:spacing w:line="500" w:lineRule="exact"/>
        <w:ind w:right="0" w:rightChars="0"/>
        <w:textAlignment w:val="auto"/>
        <w:rPr>
          <w:rFonts w:hint="eastAsia" w:ascii="宋体" w:hAnsi="宋体" w:eastAsia="宋体" w:cs="宋体"/>
          <w:sz w:val="44"/>
          <w:szCs w:val="44"/>
          <w:lang w:eastAsia="zh-CN"/>
        </w:rPr>
      </w:pPr>
      <w:r>
        <w:rPr>
          <w:rFonts w:hint="eastAsia" w:ascii="宋体" w:hAnsi="宋体" w:eastAsia="宋体" w:cs="宋体"/>
          <w:sz w:val="44"/>
          <w:szCs w:val="44"/>
          <w:lang w:eastAsia="zh-CN"/>
        </w:rPr>
        <w:br w:type="page"/>
      </w:r>
    </w:p>
    <w:p>
      <w:pPr>
        <w:keepNext w:val="0"/>
        <w:keepLines w:val="0"/>
        <w:pageBreakBefore w:val="0"/>
        <w:widowControl w:val="0"/>
        <w:kinsoku/>
        <w:wordWrap/>
        <w:overflowPunct/>
        <w:topLinePunct w:val="0"/>
        <w:bidi w:val="0"/>
        <w:snapToGrid/>
        <w:spacing w:line="500" w:lineRule="exact"/>
        <w:ind w:right="0" w:rightChars="0"/>
        <w:textAlignment w:val="auto"/>
        <w:outlineLvl w:val="0"/>
        <w:rPr>
          <w:rFonts w:hint="eastAsia" w:ascii="宋体" w:hAnsi="宋体" w:eastAsia="宋体" w:cs="宋体"/>
          <w:sz w:val="44"/>
          <w:szCs w:val="44"/>
          <w:lang w:eastAsia="zh-CN"/>
        </w:rPr>
      </w:pPr>
      <w:bookmarkStart w:id="0" w:name="_Toc11146"/>
      <w:r>
        <w:rPr>
          <w:rFonts w:hint="eastAsia" w:ascii="宋体" w:hAnsi="宋体" w:eastAsia="宋体" w:cs="宋体"/>
          <w:sz w:val="44"/>
          <w:szCs w:val="44"/>
          <w:lang w:eastAsia="zh-CN"/>
        </w:rPr>
        <w:t>【</w:t>
      </w:r>
      <w:r>
        <w:rPr>
          <w:rFonts w:hint="eastAsia" w:ascii="宋体" w:hAnsi="宋体" w:eastAsia="宋体" w:cs="宋体"/>
          <w:b w:val="0"/>
          <w:bCs w:val="0"/>
          <w:color w:val="auto"/>
          <w:sz w:val="44"/>
          <w:szCs w:val="44"/>
          <w:u w:val="none"/>
          <w:vertAlign w:val="baseline"/>
          <w:lang w:val="en-US" w:eastAsia="zh-CN"/>
        </w:rPr>
        <w:t>国务院安委会十五条措施</w:t>
      </w:r>
      <w:r>
        <w:rPr>
          <w:rFonts w:hint="eastAsia" w:ascii="宋体" w:hAnsi="宋体" w:eastAsia="宋体" w:cs="宋体"/>
          <w:sz w:val="44"/>
          <w:szCs w:val="44"/>
          <w:lang w:eastAsia="zh-CN"/>
        </w:rPr>
        <w:t>】</w:t>
      </w:r>
      <w:bookmarkEnd w:id="0"/>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一，严格落实地方党委安全生产责任。各级地方党委必须自觉承担起促一方发展保一方平安的政治责任，牢固树立不能以牺牲人的生命为代价这个观念，而且要非常明确、非常强烈、非常坚定地落实。近期，希望组织认真学习贯彻总书记关于安全生产的重要论述，严格落实地方党政领导干部安全生产责任制规定，严格落实“党政同责、一岗双责、齐抓共管、失职追责”，切实加强对安全生产工作的组织领导。党委主要负责人要立即主持党委常委会，分析形势，研究安全生产监管重大问题，真正抓扎实、抓具体、抓出成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二，严格落实地方政府安全生产责任。各级政府要把安全发展理念落实到经济社会发展各领域、各环节，政府主要负责人要根据地方党委会的要求及时研究解决突出问题，提出有效的办法，各级安委会要创造条件，实现实体化运行，滚动排查隐患，主动协调跨地区、跨区域安全工作。其他领导干部要分工把口，严格履职，切实抓好分管的工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三，严格落实部门安全监管责任。各有关部门要按照“管行业必须管安全、管业务必须管安全、管生产经营必须管安全”和“谁主管谁负责的原则，依法依规提出安全责任清单，尽快地加以落实。对职能交叉新业态风险，各级安委会会同编制部门按照“谁主管谁牵头、谁为主谁牵头、谁靠近谁牵头”的原则及时明确责任，对危化品、燃气、道路交通、电动自行车等环节多的领域，有关部门要实行全链条监管责任，对关系安全生产但是已经下放的事项，要实事求是开展一次评估，对那些基层接不住、监管跟不上的要及时纠正，必要的要收回来。应急部门要理直气壮履行安委会办公室的职责，促进各部门落实监管责任。各地方、各部门、有关企业可以提出一批有利于提升安全水平的项目，抓紧上报审批，有利于长期发展。</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四，严肃追究领导责任和监管责任。党中央明确要求对不履行职责造成较大以上事故的责任既要追究直接责任，而且要上追一层，也就是说，追究到党委政府领导的责任、有关部门的监管责任，特别是重特大事故要追究主要领导、分管领导的责任，对严重违法违规行为，没有采取有效措施甚至放任不管的要依法追究各级的责任，可能会追究到县、追究到乡主要负责人的责任，构成犯罪的移交司法机关追究刑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第五，企业主要负责人必须严格履行“第一责任人”的责任</w:t>
      </w:r>
      <w:r>
        <w:rPr>
          <w:rFonts w:hint="eastAsia" w:ascii="仿宋_GB2312" w:hAnsi="仿宋_GB2312" w:eastAsia="仿宋_GB2312" w:cs="仿宋_GB2312"/>
          <w:kern w:val="0"/>
          <w:sz w:val="28"/>
          <w:szCs w:val="28"/>
          <w:lang w:val="zh-CN" w:eastAsia="zh-CN"/>
        </w:rPr>
        <w:t>。</w:t>
      </w:r>
      <w:r>
        <w:rPr>
          <w:rFonts w:hint="eastAsia" w:ascii="仿宋_GB2312" w:hAnsi="仿宋_GB2312" w:eastAsia="仿宋_GB2312" w:cs="仿宋_GB2312"/>
          <w:kern w:val="0"/>
          <w:sz w:val="28"/>
          <w:szCs w:val="28"/>
          <w:lang w:val="zh-CN"/>
        </w:rPr>
        <w:t>企业法人代表、实际控制人、实际负责人要严格履行安全生产第一责任人的责任，对本单位安全生产负主要的责任。发生事故，现在看来要直接追究集团公司主要负责人、分管负责人的责任，要严格落实重大风险源安全包保责任制、矿长带班下井等制度，对弄虚作假，搞挂名矿场逃避责任的依法追究，对重特大事故负有主要责任的，在追究刑事责任的同时，明确终身不得担任本行业、本单位主要负责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六，立即深入扎实开展全国安全生产大检查。国务院安委会将尽快组织开展安全生产大检查，各有关部门、有关地区要做好准备，全面深入排查重大风险隐患，列出清单，明确要求责任、限期整改，坚决防止风险隐患演变为重大的事故，要牢牢盯守矿山、危化品、民航、道路、水上交通、建筑施工、燃气消防等重点行业领域，特别是对可能造成群死群伤的重大风险，由省、市级安委会和中央企业总部挂牌督办，对拒不整改的采取停产停工、追究刑责等坚决果断的措施，要统筹疫情防治、公共安全，对商场影院、医院、养老院、学校、幼儿园和高层建筑人员密集场所、封闭安全出口的、封闭疏散通道的要立即责成整改，对整改不认真，未列入清单，经查实属于重大风险隐患、可能发生事故的要当作事故对待，引发事故的更要从严追究责任，基层难以解决的问题要报本级安委会、上级行业主管部门及时协调。</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b w:val="0"/>
          <w:bCs w:val="0"/>
          <w:kern w:val="0"/>
          <w:sz w:val="28"/>
          <w:szCs w:val="28"/>
          <w:lang w:val="zh-CN"/>
        </w:rPr>
        <w:t>第七，牢牢守住项目审批安全红线。</w:t>
      </w:r>
      <w:r>
        <w:rPr>
          <w:rFonts w:hint="eastAsia" w:ascii="仿宋_GB2312" w:hAnsi="仿宋_GB2312" w:eastAsia="仿宋_GB2312" w:cs="仿宋_GB2312"/>
          <w:kern w:val="0"/>
          <w:sz w:val="28"/>
          <w:szCs w:val="28"/>
          <w:lang w:val="zh-CN"/>
        </w:rPr>
        <w:t>当前，经济社会发展压力大，但对每一个项目、每一个环节都要以安全为前提，不能有丝毫漏洞。各级发改部门要建立完善的安全生产评估论证机制，严把项目审批安全关，不得边审批边设计边施工，对危化品、矿山、烟花爆竹、建筑施工、冶金等行业高危项目人员及其场所不得降低安全门槛，部分传统行业由东部沿海地区向中西部地区转移，要严格执行国家规定的行业标准，严格安全监管，坚决淘汰落后产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八，严厉查处违法分包转包、挂靠资质行为。要立即采取行动，对高危行业违法分包转包行为严肃追究，严肃追究发包方、承包方法律责任，坚决落实“谁的资质谁负责、谁挂的牌子谁负责”，对发生安全事故的，要严格追究资质方的责任。国企特别是央企要发挥表率作用，国企总部、央企总部要建立专业化技术管理团队，加强对辖区企业的指导、监督、考核、惩处，不具备条件的不能盲目承接相关业务。</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九，切实加强劳工派遣、灵活用工人员安全管理。生产安全经营单位要将接受其作业指令的劳务派遣人员、灵活用工人员纳入本单位统一管理，落实安全生产保障责任。危险岗位要严控劳务派遣工数量，未经培训合格的不能上岗，对劳务派遣、灵活用工数量较多的行业，有关主管部门要重点加以检查，对全员安全生产责任制不到位的责令限期整改。在这里，央企、地方国企要带头，但是不能以安全生产名义辞退农民工，因为当前就业形势非常严峻，我们虽然要求整改，但是在这个问题上还是要把握好度。</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十，重拳出击开展打非治违。有关部门地区要精心组织开展打非治违专项活动，并对重点地区进行集中政治，对矿山违法盗采、油气管道乱挖乱钻、客车、客船和危化品非法运营等各种典型非法违纪行为采取精准的办法，狠抓一批违法违规行为和事件的处理，对顶风作案、屡禁不改以及责任不落实、监管不到位、失职渎职的要依法依规从严惩处、绝不手软。同时加大曝光的力度，切实起到威慑警示作用，要坚决打击违法行为背后的“保护伞”，对“猫鼠一家”的腐败行为要移交检查纪检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十一，坚决整治执法检查“宽松软”问题。安全生产执法要理直气壮，不得选择性执法，不能“宽松软”走过场。强化精准执法，按照省、市、县三级执法管理权限，确定各级管辖企业名单，明确重点检查企业，对突出的、事故爆发的严重违法行为举一反三，加强执法检查，强化专业执法及组织专家参与执法过程。要创新监管方式，大力推进异地交叉检查，要充分利用新技术、信息化手段及时发现违法行为，对关停的矿山要停止供电，派人现场盯守，严防明停暗产。</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十二，要加强安全监管执法队伍建设。各地区要尽快配齐市、县两级监管执法队伍，确保有足够力量承担监管任务，不得以改革为名层层下放执法责任。对个别地区撤销市级执法队伍的错误做法坚决予以纠正。各地在探索跨地区跨部门跨领域综合执法行政时，要充分考虑这项工作的特殊性，不得简单撤并安全执法队伍。加强执法队伍专业化建设，配强领导班子，加强专业执法装备配备，健全经费保证机制，各级财政一定要给予大力支持，提高专业执法能力和保障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十三，重赏重奖激励安全生产隐患举报。要拓宽举报宣传渠道，鼓励社会公众通过市民热线、部门举报热线和网站、来信来访等多种方式，对重大风险隐患违法行为进行举报，用好“吹哨人”制度，鼓励企业内部职工举报违法行为，负有监管责任的部门要依法处理举报，依法保护举报人，不得私自泄漏有关个人信息，对举报重大风险隐患和举报违法违约行为的有功人员要实行重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zh-CN"/>
        </w:rPr>
      </w:pPr>
      <w:r>
        <w:rPr>
          <w:rFonts w:hint="eastAsia" w:ascii="仿宋_GB2312" w:hAnsi="仿宋_GB2312" w:eastAsia="仿宋_GB2312" w:cs="仿宋_GB2312"/>
          <w:kern w:val="0"/>
          <w:sz w:val="28"/>
          <w:szCs w:val="28"/>
          <w:lang w:val="zh-CN"/>
        </w:rPr>
        <w:t>第十四，严肃查处瞒报谎报迟报漏报事故的行为。要严格落实事故直报制度，隐瞒不报、谎报或者推延不报的，对直接负责人和负有领导管理责任的人员依法依规依纪从严追究责任，对初步认定的瞒报事故一律由上级安委会挂牌督办，必要时提级调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zh-CN"/>
        </w:rPr>
        <w:t>第十五，统筹做好经济发展、疫情防控和安全发展工作。从当前形势看，做好这三项工作是一个整体。头脑要冷静，不能单打一。要注意调动各方面积极性，提倡互相协作、相互尊重、齐心协力，共同解决好面对的复杂问题。各级监管部门要坚持从实际出发，处理好“红灯、绿灯、黄灯”之间的关系，使得各项工作协调有序推进，引导形成良好市场预期，既要亮“红灯”，又要给“黄灯”、给“绿灯”，保持交通的畅通。要高度重视特困行业纾困问题，国务院正在专门研究民航业等遇到的困难，并将采取有效的措施，给予必要的补助。交通部、民航部门和有关企业要深入进行整改，同时要注意做好飞行员的思想工作、心理疏导。其他各行业都要从实际出发，注意发挥第一线人员做好安全生产工作的主动性，对于各类事故遇难人员要认真做好善后工作，以人为本、生命至上、逝者为大，体现中国特色社会主义的人权观。各级党委政府把握好政策基调，做到稳中求进，善于“弹钢琴”，高质量统筹做好各方面工作，真正体现党的执政能力水平，让党中央放心，让全国人民放心</w:t>
      </w:r>
      <w:r>
        <w:rPr>
          <w:rFonts w:hint="eastAsia" w:ascii="仿宋_GB2312" w:hAnsi="仿宋_GB2312" w:eastAsia="仿宋_GB2312" w:cs="仿宋_GB2312"/>
          <w:kern w:val="0"/>
          <w:sz w:val="28"/>
          <w:szCs w:val="28"/>
          <w:lang w:val="en-US" w:eastAsia="zh-CN"/>
        </w:rPr>
        <w:t>。</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kern w:val="0"/>
          <w:sz w:val="28"/>
          <w:szCs w:val="28"/>
          <w:lang w:val="en-US" w:eastAsia="zh-CN"/>
        </w:rPr>
      </w:pP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9"/>
        <w:rPr>
          <w:rFonts w:hint="eastAsia" w:ascii="宋体" w:hAnsi="宋体" w:eastAsia="宋体" w:cs="宋体"/>
          <w:b w:val="0"/>
          <w:bCs w:val="0"/>
          <w:color w:val="auto"/>
          <w:sz w:val="44"/>
          <w:szCs w:val="44"/>
          <w:u w:val="none"/>
          <w:vertAlign w:val="baseline"/>
          <w:lang w:val="en-US" w:eastAsia="zh-CN"/>
        </w:rPr>
      </w:pPr>
      <w:r>
        <w:rPr>
          <w:rFonts w:hint="eastAsia" w:ascii="宋体" w:hAnsi="宋体" w:eastAsia="宋体" w:cs="宋体"/>
          <w:b w:val="0"/>
          <w:bCs w:val="0"/>
          <w:color w:val="auto"/>
          <w:sz w:val="44"/>
          <w:szCs w:val="44"/>
          <w:u w:val="none"/>
          <w:vertAlign w:val="baseline"/>
          <w:lang w:val="en-US" w:eastAsia="zh-CN"/>
        </w:rPr>
        <w:br w:type="page"/>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0"/>
        <w:rPr>
          <w:rFonts w:hint="eastAsia" w:ascii="宋体" w:hAnsi="宋体" w:eastAsia="宋体" w:cs="宋体"/>
          <w:b w:val="0"/>
          <w:bCs w:val="0"/>
          <w:color w:val="auto"/>
          <w:sz w:val="44"/>
          <w:szCs w:val="44"/>
          <w:u w:val="none"/>
          <w:vertAlign w:val="baseline"/>
          <w:lang w:val="en-US" w:eastAsia="zh-CN"/>
        </w:rPr>
      </w:pPr>
      <w:bookmarkStart w:id="1" w:name="_Toc30707"/>
      <w:r>
        <w:rPr>
          <w:rFonts w:hint="eastAsia" w:ascii="宋体" w:hAnsi="宋体" w:eastAsia="宋体" w:cs="宋体"/>
          <w:b w:val="0"/>
          <w:bCs w:val="0"/>
          <w:color w:val="auto"/>
          <w:sz w:val="44"/>
          <w:szCs w:val="44"/>
          <w:u w:val="none"/>
          <w:vertAlign w:val="baseline"/>
          <w:lang w:val="en-US" w:eastAsia="zh-CN"/>
        </w:rPr>
        <w:t>【广东省安全生产“65条”措施】</w:t>
      </w:r>
      <w:bookmarkEnd w:id="1"/>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为认真贯彻习近平总书记关于安全生产重要指示精神，深入落实国务院安委会《关于进一步强化安全生产责任落实坚决防范遏制重特大事故的若干措施》和省委、省政府部署要求，坚决防范遏制重特大事故发生，经省安委会领导同志同意，现就有关措施通知如下。</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一、严格落实地方党委安全生产责任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1.各地要将习近平总书记关于应急管理、安全生产、防灾减灾救灾及防范化解重大风险的重要论述和重要指示批示精神纳入党委理论中心组学习的内容。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各市、县（市、区）、镇（街）党委主要负责同志担任本级安全生产委员会主任，严格落实“党政同责、一岗双责、齐抓共管、失职追责”，综合运用巡查督查、考核考察、激励奖惩等措施加强安全生产工作的组织领导，把安全生产（含消防工作，下同）纳入党委重要议事日程和向市、县（市、区）委全会报告工作的内容，把落实安全生产责任情况纳入市、县（市、区）委督查督办内容。其他党委会成员要按照职责分工，协调纪检监察机关和组织、宣传、政法、机构编制等单位支持保障安全生产工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各地级以上市党委每半年、各县（市、区）党委每季度至少召开一次常委会会议专题研究安全生产工作，研究解决本地区重大风险隐患和应急管理部门领导班子、队伍建设、执法力量建设、应急能力建设等重大问题，尽快补齐镇街、开发区、工业园区等基层应急体制改革短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4.各地要严格落实《广东省市县党政领导干部安全生产重点职责工作清单》各项职责要求，制定市、县（市、区）党政领导干部安全生产“年度任务清单”，将安全生产纳入党政领导班子成员年度述职报告内容。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各地要严格执行重大生产安全事故“一票否决”制度，加大安全生产等约束性指标在经济社会发展考核评价体系中的权重，将履行安全生产责任情况作为对党政领导班子和有关领导干部考核、有关人选考察的重要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二、严格落实地方政府安全生产责任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6.各地要把安全生产纳入市、县（市、区）政府重点工作和政府工作报告的重要内容，把安全生产专项资金列入本级财政预算予以保障。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各市、县（市、区）、镇（街）政府主要负责同志同时担任本级安全生产委员会主任，政府常务副职分管安全生产工作，镇（街）政府由排名第一的副职分管安全生产工作，推动全省所有镇（街）应急管理办公室整合安全生产、三防、森防、地震和地质灾害救援、自然灾害救助等职责，明确镇（街）承担消防工作的机构，确保基层应急管理体系运作顺畅、协调有力、指挥高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各地级以上市政府每半年、各县（市、区）政府每季度至少召开一次常务会议专题研究安全生产工作，研究解决安全生产重大问题。市、县（市、区）政府每季度经济形势分析会议应当同步分析安全生产形势和重大风险隐患排查整治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9.各市、县（市、区）政府主要负责同志代表本级党委、政府，与辖区各地各有关部门签订安全生产责任书，对下级政府和本级安委会成员单位开展安全生产工作考核巡查。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10.各地要落实国务院安委会要求，推动实现安委会实体化运行，强化对安全生产的统筹协调和督促落实。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11.各地要建立各级安委会安全生产重大风险隐患和突出问题交办单制度，由安委会办公室发出任务交办单并加强跟踪督办。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三、严格落实部门安全监管责任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12.各级安委会要会同编办按照“谁主管谁牵头、谁为主谁牵头、谁靠近谁牵头”的原则，厘清新业态、新领域安全生产监管职责，及时消除监管盲区和漏洞，确保安全生产事事有人管。</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13.各级负有安全生产监督管理职责的部门要按照“三定规定”和部门安全生产职责，编制本部门安全生产权力清单和责任清单，利用本单位网站、微信公众号等平台向社会公开，接受社会监督。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14.省安委会成员单位要全面梳理、认真评估涉及安全生产的取消下放事项，对基层接不住、监管跟不上的，要按照法律法规的规定及时予以收回。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15.各级安委会成员单位要深入推进本行业领域安全生产专项整治，全面落实安全生产“一线三排”机制，对重大隐患实施挂牌督办、闭环管理。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16.各级安委会成员单位要充分运用信息化手段，借鉴危险化学品安全风险监测预警系统、安全生产执法系统、“两客一危一重货”重点车辆智能监控预警融合平台等成功实践，加快建设本行业领域安全生产信息化系统，坚持以信息化推进安全生产治理体系和治理能力现代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17.各级应急管理部门要理直气壮履行安委会办公室职责，对基层难以解决的重要问题，及时主动“交单子”，既督促各安委会成员单位落实安全生产监管责任，也提请本级党委、政府研究解决安全生产重大问题。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四、严肃追究领导责任和监管责任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18.发生较大及以上生产安全事故的，事故调查组要及时通过电话或发函等方式，邀请纪检监察机关介入调查。事故调查组在提交上级安委办审核事故调查报告时，应当附上纪检监察机关对党员、干部和公职人员的追责问责有关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19.发生较大及以上生产安全事故的，事故调查组要调查核实属地党委、政府及其监管部门的履职情况，形成结论性意见，提出应当追责问责的党员、干部以及监察对象建议名单及人员责任事实，及时移交纪委监委责任事故追责问责审查调查组。对不认真履行职责的，不仅要追究监管部门的监管责任，还要追究党委政府的领导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20.对涉及非法采矿、违法盗采等严重违法违规行为的事故，事故调查组要调查核实党委、政府及其监管部门是否存在没有采取有效制止措施甚至放任不管的情形。存在问题的，不仅要追究县、乡党委、政府主要负责人的责任，还要专题研究是否符合移交司法机关追究刑事责任的条件。</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五、企业主要负责人必须严格履行第一责任人责任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21.企业法定代表人、实际控制人、实际负责人要严格履行安全生产第一责任人责任，对本单位安全生产负总责，严格落实国家“钢8条”“铝7条”“粉6条”“有限空间4条”等重大生产安全事故隐患判定标准，建立健全“一线三排”机制，落实化工行业特殊作业“四令三制”、钢铁企业“七个严格”、动火作业“三个一律”、有限空间“七不准”等安全生产硬规定、硬要求。危险化学品企业主要负责人要抓好“两重点一重大”（重点监管的危险化工工艺、重点监管的危险化学品和危险化学品重大危险源，下同）化工装置及储运设施安全检查，确保安全设备设施完好投用，监测预警系统运行正常，预警消警处置及时。各企业要运用“粤商通”平台全面开展企业单位消防安全线上大承诺和火灾隐患自查自改报备，落实单位消防安全主体责任，健全风险隐患“自知、自查、自改”和公示承诺制度，中小微企业要落实实名制培训，实施消防安全责任人、管理人能力提升工程。</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22.对发生较大及以上事故负有主要责任的企业负责人，要依法移送司法机关追究刑事责任，同时还要依法明确五年内或终身不得担任本行业企业主要负责人等其他追责措施。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23.对故意增加企业管理层级，层层推卸责任、设置追责“防火墙”的，依法追究企业有关责任人员的责任。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24.企业要严格落实重大危险源安全包保责任制、矿长带班下井等制度规定。对存在弄虚作假、搞“挂名矿长”“挂名法人”等逃避安全生产责任的，必须依法追究企业实际控制人的责任。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25.对建筑施工项目负责人强令工人违章冒险作业，或渔船船东、船长关闭或破坏AIS等通导设备的，一经发现，监管执法部门要坚决移送司法机关依法追究刑事责任。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六、深入扎实开展全省安全生产大检查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26.各地要聚焦国务院安委会“十五条”等重点工作，民航、危险化学品、燃气、建筑施工、道路交通、水上交通和渔业船舶、工贸、矿山、消防等重点行业，“两重点一重大”化工装置储存设施、钢铁、铝加工、粉尘涉爆、液氨制冷、有限空间、商渔船碰撞、“三合一”场所、“两客一危一重货”、危大工程等重点领域，全面、深入、彻底开展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27.各地各有关部门要深入排查重大风险隐患，列出清单、明确要求、压实责任、限期整改，坚决防止风险隐患演变为重特大事故。要统筹疫情防控和公共安全，防止封闭安全出口、疏散通道引发事故。对排查整治不认真，未列入清单、经查属于重大隐患的，要当作事故对待，引发事故的要从重追究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28.各地各有关部门要深入推进安全生产专项整治三年行动，确保各项任务落地落实，确保专项整治取得实效。各地及公安、交通运输、应急管理、市场监管、教育、住房城乡建设、自然资源、文化和旅游、气象等部门要巩固提升系统防范化解道路交通安全风险有益做法，坚持不懈、继续完善3大类24项长效机制。综合应用“两客一危一重货”重点车辆智能监控预警融合数据，对重点车辆实行严格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29.各地各有关部门要全力打好危险化学品、燃气安全两场专项整治攻坚仗，按照“一地一策”“一园一策”的要求整治提升全省化工园区安全风险管控能力，加快推进城市燃气管道等老化更新改造，督促餐饮场所全部安装可燃气体报警装置。</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30.各地各有关部门要全面开展消防安全大检查，深入推进消防安全专项整治三年行动，狠抓高层建筑、地下建筑、大型综合体、石化企业、养老服务机构、幼儿教育场所、文物古建筑、标志性建筑等重点场所和人员密集场所消防安全管理，全面开展“三合一”场所、生产经营租住村（居）民自建房消防安全“扫雷”行动，深化乡村地区电气火灾综合治理和电动自行车消防领域综合治理，紧盯集中隔离点、定点医院、方舱医院等涉疫重点场所消防安全管控，坚决确保全省火灾形势稳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31.各地要精心组织“安全宣传南粤行”，集中曝光一批安全生产违法行为并实行闭环管理。隐患问题曝光后5个工作日内，属地党委、政府要责成相关职能部门作出回应。</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七、牢牢守住项目审批安全红线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32.各级发展改革、应急管理部门要会同相关职能部门，在立项阶段对可能涉及安全生产风险的项目，对项目是否符合相应安全生产规划、条件和标准，相应安全防护措施在技术上、工程上、经济上是否合理可行等进行安全风险联合评估。对达不到安全生产要求的项目，不得予以审批、核准，对完成告知性备案的项目依法予以撤销备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33.各级发展改革、自然资源、水利、交通运输、住房城乡建设、农业农村、文化和旅游、应急管理等部门要严把建设项目审批关，严禁项目不符合安全生产条件就擅自开工建设，项目建设、施工等单位不得边审批、边设计、边施工。对地方政府违规审批、强行上马的不达标项目，造成事故的要终身追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34.对涉及“两重点一重大”的危险化学品建设项目，建立联合审查机制，各级发展改革、自然资源、生态环境、住房城乡建设、应急管理等部门各司其职，加强协作，合力推动项目审查落地。新建危险化学品生产建设项目（资源类项目、为其他行业配套的危化品建设项目等除外）应进入化工园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35.各地要建立完善矿山建设项目安全风险评估与论证机制，各级发展改革、自然资源、应急管理、工业和信息化、生态环境等部门要各司其职、加强配合，严把项目审批关，对不符合矿业规划、达不到国家及地方最小开采规模的，不得予以相应审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36.各地要深刻汲取近期典型事故教训，新、改、扩建铝加工（深井铸造）和钢铁冶金、粉尘涉爆等项目要采用报警、联锁装置，提升行业本质安全水平。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八、严厉查处违法分包转包和挂靠资质行为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37.各中央驻粤、省属企业要发挥安全生产带头表率作用，建立针对违法分包、转包的内部管理制度，加强对下属企业安全生产的指导、监督、考核、奖惩，发现违法分包、转包行为的必须对所在企业的主要负责人作出严肃处理，并通报有关部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38.各级工程建设相关行业主管部门要对所有建筑工地开展全覆盖的发包、分包行为检查，重点核查建设单位是否未办施工许可证擅自施工，是否“边审批、边设计、边施工”，是否将工程发包给不具有相应资质条件的单位或个人，是否履行法定发包程序，是否肢解发包，是否违反合同约定指定分包单位或材料供应厂商，是否按照合同约定拨付工程款、人工费用等情况。核查项目施工总承包、专业承包（分包）、劳务企业是否具有工程承揽所需资质；是否将承包的工程转包给其他单位或个人；是否以联营、合作、个人承包等形式或名义，直接或变相转包、挂靠；是否将工程违法分包给不具备资质条件的单位或个人；是否将建设工程主体结构、关键性工作进行分包（钢结构工程除外）等情况。各级应急管理部门要对矿山外包工程进行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39.对发生较大及以上生产安全事故或存在违法分包、转包行为的涉事企业，工程建设相关行业主管部门要研究限制其在广东省范围内参与招投标活动，提请发证机关依法暂扣或吊销其建筑施工安全生产许可证，由工程建设主管部门直接约谈集团公司主要负责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40.各省级工程建设相关行业主管部门要定期在广东电视台、《南方日报》等主流媒体曝光一批违法分包、转包和挂靠典型案例，点人、点事、点具体，曝光一批、震慑一片。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九、切实加强劳务派遣和灵活用工人员安全管理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41.各类工程建设项目必须将接受其作业指令的劳务派遣人员、灵活用工人员纳入本单位从业人员安全生产的统一管理，与本单位人员同培训、同教育、同监督，推行实名制和班组管理。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42.各负有安全生产监督管理职责的部门要结合本行业实际情况制定灵活用工人员安全管理办法，明确灵活用工人员数量、年龄、专业、工作经历等方面的要求。</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43.各地要深入排查辖区各建筑工地劳务派遣和灵活用工人员情况，全面摸清劳务派遣和灵活用工人员底数，重点核查劳务工人持证上岗、安全培训及安全管理等情况，严厉查处项目部和劳务企业安全生产各搞各的、没有实行统一管理等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十、重拳出击开展“打非治违”</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44.各地各有关部门要组织开展整治突出违法违规生产经营建设行为专项行动，建立联合执法机制，结合广东实际，严厉打击涉渔“三无”船舶非法捕捞、建筑无资质施工和层层转包、私搭乱建铁皮棚等违章建筑、利用面包车或商务车非法营运、中介机构出具虚假报告以及用于住宿、生产、经营的易燃可燃彩钢板建筑等典型非法违法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45.“打非治违”实行“四个一律”，即：对非法生产经营建设和经停产整顿仍未达到要求的，一律依法关闭取缔；对非法违法生产经营建设的有关单位和责任人，一律按规定上限予以经济处罚；对存在违法生产经营建设行为的单位，一律依法责令停产整顿，并严格落实监管措施；对触犯法律的有关单位和人员，一律依法严格追究法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46.各地各有关部门在开展安全生产大检查期间，对顶风作案、屡禁不止和责任不落实、监管不到位、失职渎职的，依规依纪依法从重惩处并公开曝光，切实起到震慑警示和宣传教育的作用。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47.各地要深挖严打违法行为背后的“保护伞”，对监管执法人员与不法企业“猫鼠一家”的腐败问题，坚决移交纪检监察机关严肃查处。</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十一、坚决整治执法检查“宽松软”问题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48.各级执法部门要深入研究本行业领域事故规律特点、明确本行业领域重点执法事项，综合运用专家指导服务、用水用电监测等手段发现问题，对同类问题屡查屡犯、反复发生的，依法顶格处罚，解决安全检查查不出问题的顽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49.各地要严格执行新《安全生产法》《行政处罚法》，全面落实行政执法公示制度、执法全过程记录制度、重大执法决定法制审核制度，坚持严格规范文明执法，不断提高安全生产行政处罚率。市级应急管理部门每季度、县级应急管理部门每2个月至少通过省执法信息系统报送1个典型执法案例，实现报送率、合格率均达到“100%”，解决检查多、处罚少的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50.各级执法部门对执法检查中发现的各类违法行为，要盯住不放，督促企业彻底整改，严格执法闭环管理，做到有检查、有整改、有落实，防止只检查不跟踪的问题。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51.省安委会成员单位要会同有关部门建立健全安全生产行政执法与刑事司法衔接制度，加大事故前危险作业违法行为刑事责任追究力度，防止以罚代刑。</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52.各级应急管理部门要严格执行国家安全生产失信行为联合惩戒制度，对存在严重违法行为的失信主体坚决报送纳入全国安全生产失信惩戒名单，督促指导同级相关部门落实联合惩戒措施，防止只纳入不惩戒，起到应有的惩戒作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十二、加强安全监管执法队伍建设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53.各地要认真贯彻落实《广东省深化应急管理综合行政执法改革实施方案》，坚持安全生产执法工作只能加强、不能削弱，配齐建强市、县两级安全生产执法队伍，聘用辅助安全生产执法的技术检查员，既不得以改革为名层层下放执法责任，也不得简单撤并安全生产执法队伍。国家、省、市、县级化工园区安全管理机构专业监管执法人员原则上分别不少于10人、6人、4人、4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54.各地要加强安全生产执法人员的专业化建设，执法人员新入职培训不得少于3个月，每年参加不少于2周的复训。市、县两级应急管理部门具有安全生产相关学历、职业资格和实践经验的执法人员数量，不得低于在职执法人员的75%。</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55.各地要严格按照《综合行政执法制式服装和标志管理办法》《应急管理综合行政执法装备配备标准（试行）》等要求，为安全生产执法队伍统一配发执法制服，配备执法车辆、移动执法终端、便携式执法笔记本电脑、执法记录仪、对讲机、激光测距仪、多功能气体检测仪、安全帽等装备，配足配齐必要的执法装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56.各地要按照财政事权与支出责任相适应的原则，将安全生产执法装备、服装、用车、用房、办案和信息化建设等工作经费纳入同级财政预算管理，落实执法人员工资待遇保障政策，依法为执法人员参加工伤保险、鼓励购买人身意外保险。</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57.各级应急管理部门要经常性地组织开展安全生产执法队伍岗位比武练兵，推动执法人员提高实战能力、锤炼工作作风、规范执法行为。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十三、重赏重奖安全生产隐患举报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58.各地要向社会公布政务服务便民热线12345、安全生产举报热线12350和负有安全生产监管职责的部门联系方式，鼓励公众通过电话、网站、来信等多种方式，对重大风险、事故隐患和违法行为进行举报。12350要确保24小时有人接听。</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59.矿山、金属冶炼、建筑施工、运输单位和危险物品的生产、经营、储存、装卸单位应当建立“吹哨人”制度，建立健全企业内部举报奖励机制，把12345、12350及属地监管部门安全生产投诉举报电话等信息张贴在办公楼、作业面等场所的醒目位置，支持和鼓励内部员工积极举报身边的安全生产违法行为。各地要依法保护举报人合法权益，不得打击报复举报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60.各地要建立安全生产举报首问责任制，确保举报事项件件能解决、事事有回音，并按照《广东省安全生产领域举报处理办法》等有关规定重奖举报有功人员。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十四、严肃查处瞒报谎报迟报漏报事故行为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61.各地要严格执行生产安全事故直报制度，收到瞒报、谎报、迟报、漏报事故相关举报投诉的，一经核实、严肃处理。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62.对存在瞒报、谎报、迟报、漏报事故行为的单位和个人，要依规依纪依法从严追究责任。属于党员、干部以及监察对象的，要移交纪检监察机关严肃处理。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63.对涉及瞒报、谎报、迟报、漏报的事故，上级安委会必须挂牌督办或者提级调查。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十五、统筹做好经济发展、疫情防控和安全生产</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64.各地在本地区规划发展、政策执行、工作布局中，要统筹好经济发展、疫情防控和安全生产工作，着力保持平稳健康的经济环境、风清气正的政治环境、国泰民安的社会环境。</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65.各地要高度重视交通、民航、餐饮、旅游等受疫情影响较大的行业领域纾困问题，精准施策、定向纾困，防止企业因经营困难、安全投入不足引发事故。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9"/>
        <w:rPr>
          <w:rFonts w:hint="eastAsia" w:ascii="宋体" w:hAnsi="宋体" w:eastAsia="宋体" w:cs="宋体"/>
          <w:b w:val="0"/>
          <w:bCs w:val="0"/>
          <w:color w:val="auto"/>
          <w:sz w:val="44"/>
          <w:szCs w:val="44"/>
          <w:u w:val="none"/>
          <w:vertAlign w:val="baseline"/>
          <w:lang w:val="en-US" w:eastAsia="zh-CN"/>
        </w:rPr>
      </w:pPr>
      <w:r>
        <w:rPr>
          <w:rFonts w:hint="eastAsia" w:ascii="宋体" w:hAnsi="宋体" w:eastAsia="宋体" w:cs="宋体"/>
          <w:b w:val="0"/>
          <w:bCs w:val="0"/>
          <w:color w:val="auto"/>
          <w:sz w:val="44"/>
          <w:szCs w:val="44"/>
          <w:u w:val="none"/>
          <w:vertAlign w:val="baseline"/>
          <w:lang w:val="en-US" w:eastAsia="zh-CN"/>
        </w:rPr>
        <w:br w:type="page"/>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0"/>
        <w:rPr>
          <w:rFonts w:hint="eastAsia" w:ascii="宋体" w:hAnsi="宋体" w:eastAsia="宋体" w:cs="宋体"/>
          <w:b w:val="0"/>
          <w:bCs w:val="0"/>
          <w:color w:val="auto"/>
          <w:sz w:val="44"/>
          <w:szCs w:val="44"/>
          <w:u w:val="none"/>
          <w:vertAlign w:val="baseline"/>
          <w:lang w:val="en-US" w:eastAsia="zh-CN"/>
        </w:rPr>
      </w:pPr>
      <w:bookmarkStart w:id="2" w:name="_Toc31932"/>
      <w:r>
        <w:rPr>
          <w:rFonts w:hint="eastAsia" w:ascii="宋体" w:hAnsi="宋体" w:eastAsia="宋体" w:cs="宋体"/>
          <w:b w:val="0"/>
          <w:bCs w:val="0"/>
          <w:color w:val="auto"/>
          <w:sz w:val="44"/>
          <w:szCs w:val="44"/>
          <w:u w:val="none"/>
          <w:vertAlign w:val="baseline"/>
          <w:lang w:val="en-US" w:eastAsia="zh-CN"/>
        </w:rPr>
        <w:t>【佛山市安全生产“88条”措施】</w:t>
      </w:r>
      <w:bookmarkEnd w:id="2"/>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为贯彻落实习近平总书记关于安全生产工作的重要指示和全国安全生产电视电话会议精神，根据国务院安委会《关于进一步强化安全生产责任落实坚决防范遏制重特大事故的若干措施》（以下简称“安全生产十五条重要措施”）和省安委会《广东省关于进一步强化安全生产责任落实坚决防范遏制重特大事故的若干措施》文件要求，结合我市安全生产工作实际，制定以下实施细则。</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一、严格落实地方党委安全生产责任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1.将习近平总书记关于应急管理、安全生产、防灾减灾救灾的重要论述和重要指示批示精神纳入各级党委理论中心组学习内容。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将安全生产纳入市、区、镇（街道）党委负责人集中培训的重要内容，市、区、镇（街）党委主要负责同志担任本级安全生产委员会主任,严格落实“党政同责、一岗双责、齐抓共管、失职追责”，综合运用巡查督查、考核考察、激励奖惩等措施加强安全生产工作的组织领导，把安全生产（含消防工作，下同）纳入各级党委重要议事日程和向市、区、镇（街道）委全会报告工作内容。把落实安全生产责任制情况纳入市委、区委督查督办内容。其他党委会成员要按照职责分工，协调纪检监察机关和组织、宣传、政法、机构编制等单位支持保障安全生产工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市党委每半年、各区党委每季度至少召开一次常委会会议专题研究安全生产工作，研究解决辖区内重大风险隐患和应急管理部门领导班子、队伍建设、执法力量建设、应急能力建设等重大问题，尽快补齐镇街、开发区、工业园区等基层应急体制改革短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严格落实《广东省市县党政领导干部安全生产重点职责工作清单》各项职责要求，制定市、区、镇（街道）党委领导干部安全生产“职责清单”和“年度任务清单”，将安全生产纳入党委领导干部年度述职报告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严格执行重大生产安全事故“一票否决”制度，加大生产安全事故控制等约束性指标在经济社会发展考核评价体系中的权重，将履行安全生产责任情况作为对党政领导班子和有关领导干部考核、有关人选考察的重要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6.严格落实《广东省党政领导干部安全生产责任制实施细则》，切实加强党委对安全生产工作的组织领导。</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二、严格落实地方政府安全生产责任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市政府每半年、各区政府每季度至少召开一次常务会议专题研究安全生产工作，研究解决安全生产重大问题。市、区、镇（街道）政府每季度经济形势分析会议应当同步分析安全生产形势和重大风险隐患排查整治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8.把安全生产纳入市、区、镇（街道）政府重点工作和政府工作报告的重要内容。把安全生产专项资金列入本级财政预算予以保障。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9.科学编制《佛山市应急管理“十四五”规划》，与《佛山市国民经济和社会发展第十四个五年和二〇三五年远景目标规划纲要》同步实施。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10.市、区、镇（街道）政府主要负责同志担任本级安全生产委员会主任，政府常务副职分管安全生产工作，镇（街道）政府由担任党委委员、排名第一的的副职分管安全生产工作，推动全市所有镇（街道）应急管理办公室整合安全生产、三防、森防、地震和地质灾害救援、自然灾害救助等职责，明确镇（街道）承担消防工作的机构，确保基层应急管理体系运作顺畅、协调有力、指挥高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11.市、区政府主要负责同志要代表本级党委、政府，与辖区各地各有关部门签订安全生产责任书，对下级政府和同级安委会成员单位开展安全生产工作考核巡查。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12.落实国务院安委会要求，推动实现安委会实体化运行，强化对安全生产的统筹协调和督促落实。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13.市、区政府建立“提醒函、督办函、警示函”和挂牌督办、约谈工作机制，对下级政府存在的重大安全隐患整治工作和典型生产安全事故调查由市安委办进行及时督促指导。</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14.各级安委会要建立安全生产重大风险隐患和突出问题交办单制度，由安委会办公室发出任务交办单并加强跟踪督办。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15.强化《佛山市安全生产风险研判会商制度》运用，对跨区域、跨部门安全生产问题及时会商，深入研判排查存在的安全生产风险隐患。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16.各区政府制定本辖区贯彻落实“安全生产15条措施”实施细则，并组织实施。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三、严格落实部门安全监管责任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17.各级安委会要会同编办按照“谁主管谁牵头、谁为主谁牵头、谁靠近谁牵头”的原则，厘清新业态、新领域安全生产监管职责，及时消除监管盲区和漏洞，确保安全生产事事有人管。</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18.制定印发《佛山市党政部门及中央、省驻禅有关单位安全生产工作职责》，进一步明确“三管三必须”责任以及新业态安全监管职责。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19.各级负有安全生产监督管理职责的部门要按照“三定规定”和部门安全生产职责，编制本部门安全生产权力清单和责任清单，利用本单位网站、微信公众号等平台向社会公开，接受社会监督。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20.市安委会成员单位要全面梳理、认真评估涉安全生产审批下放事项，对基层接不住、监管跟不上的，要按照法律法规的规定及时予以收回。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21.各级安委会成员单位要深入推进本行业领域安全生产专项整治，全面落实安全生产“一线三排”机制，对重大安全风险隐患实施挂牌督办、闭环管理。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22.各级安委会成员单位要充分运用信息化手段，借鉴危险化学品安全风险监测预警系统、安全生产执法系统、“两客一危一重货”重点车辆智能监控预警融合平台等成功实践，加快建设本行业领域安全生产信息化系统，坚持以信息化推进安全生产治理体系和治理能力现代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23.各级应急管理部门要理直气壮履行安委会办公室职责，对基层难以解决的重要问题，及时主动“交单子”，既督促各安委会成员单位落实安全生产监管责任，也提请本级党委、政府研究解决安全生产重大问题。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24.市各负有安全监管职责的部门制定本行业领域落实“安全生产15条措施”实施细则，并组织实施。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四、严肃追究领导责任和监管责任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25.发生较大及以上生产安全事故的，事故调查组要及时邀请本地区纪检监察机关介入调查。事故调查组在提交上级安委办审核事故调查报告时，应当附上纪检监察机关对党员、干部和公职人员的追责问责有关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26.发生较大及以上生产安全事故的，事故调查组要调查核实属地党委、政府及其监管部门的履职情况，形成结论性意见，提出应当追责问责的党员、干部以及监察对象建议名单及人员责任事实，及时移交纪委监委责任事故追责问责审查调查组。对不认真履行职责的，不仅要追究监管部门的监管责任，还要追究党委政府的领导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27.对涉及非法采矿、违法盗采等严重违法违规行为的事故，事故调查组要调查核实党委、政府及其监管部门是否存在没有采取有效制止措施甚至放任不管的情形。存在问题的，不仅要追究区、镇（街道）</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党委、政府主要负责人的责任，还要专题研究是否符合移交司法机关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追究刑事责任的条件。</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28.完善建立事故调查的工作机制。根据最高检制发的“八号检察建议”，联合市纪委监察委、市检察院，建立关于加大对执法监管人员失职渎职等违法违纪行为的调查追责力度方面的工作机制。</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五、企业主要负责人必须严格履行“第一责任人”责任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29.企业法定代表人、实际控制人、实际负责人要严格履行安全生产第一责任人责任，对本单位安全生产负总责，严格落实国家“钢8条”</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“铝7条”“粉6条”“有限空间4条”，建立健全“一线三排”机制，落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实化工行业特殊作业“四令三制”、钢铁企业“七个严格”、动火作业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三个一律”、有限空间“七不准”等安全生产硬规定、硬要求。危险化学品企业主要负责人要抓好“两重点一重大”（重点监管的危险化工工艺、重点监管的危险化学品和危险化学品重大危险源，下同）化工装置及储运设施安全检查，确保安全设备设施完好投用，监测预警系统运行正常，预警消警处置及时。各企业要运用“粤商通”平台全面开展企业单位消防安全线上大承诺和火灾隐患自查自改报备，落实单位消防安全主体责任，健全风险隐患“自知、自查、自改”和公示承诺制度，中小微企业要落实实名制培训，实施消防安全责任人、管理人能力提升工程。</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30.对发生较大以上事故负有主要责任的企业负责人，要依法移送司机关追究刑事责任，同时还要依法明确五年内或终身不得担任本行业企业主要负责人等其他追责措施。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31.对故意增加企业管理层级，层层推卸责任、设置追责“防火墙”的，依法追究企业有关责任人员的责任。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32.企业要严格落实重大危险源安全包保责任制、矿长带班下井等制度规定。对存在弄虚作假、搞“挂名矿长”“挂名法人”等逃避安全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生产责任的，必须依法追究企业实际控制人的责任。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33.对在建筑施工中项目负责人强令工人违章冒险作业，或商渔船船东、船长关闭或破坏AIS等通导设备的，一经发现，监管执法部门要</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坚决移送司法机关依法追究刑事责任。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34.强化企业主要负责人安全生产知识和管理能力培训考核工作，引导全市安全生产培训机构在组织全市企业主要负责人培训时，落实学习宣传贯彻习近平总书记关于安全生产重要论述的工作要求，确保学习教育全覆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六、立即深入扎实开展全市安全生产大检查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35.各区和市安委会各成员单位要聚焦国务院安委会“十五条”等重点工作，针对民航、危险化学品、燃气、建筑施工、道路交通、水上交通和渔业船舶、工贸、矿山、消防等重点行业，“两重点一重大”化工装置储存设施、钢铁、铝加工、粉尘涉爆、液氨制冷、有限空间、</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商渔船碰撞、“三合一”场所、“两客一危一重货”、危大工程等重点领域，全面、深入、彻底开展安全生产大检查。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36.各区各有关部门要深入排查重大风险隐患，列出清单、明确要求、压实责任、限期整改，坚决防止风险隐患演变为重特大事故。要统筹疫情防控和公共安全，防止封闭安全出口、疏散通道引发事故。对排查整治不认真，未列入清单、经查属于重大隐患的，要当作事故对待，引发事故的要从重追究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37.各区各有关部门要深入推进安全生产专项整治三年行动，确保</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各项任务落地落实，确保专项整治取得实效。各地及公安、交通运输、</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应急管理、市场监管、教育、住房城乡建设、自然资源、文广旅体、</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气象等部门要巩固提升系统防范化解道路交通安全风险有益做法，坚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持不懈、继续完善3大类24项长效机制。用好“两客一危一重货”重点车辆智能监控预警融合数据，对高风险车辆实行严格管理。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38.按照《佛山市危险化学品安全风险集中治理实施方案》，制定落实“1+N”个具体实施方案，开展5个方面42项任务攻坚。开展油气储存企业、老旧装置、化工园区、油气长输管道、重大危险源等专项安全风险整治，推进危险化学品企业双重预防机制数字化建设和岗位“零事故”、标准化“双创”工作，提升企业本质安全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39.按照《佛山市2022年度工矿商贸行业安全生产专项治理方案》，对金属冶炼、粉尘涉爆、有限空间作业、危险化学品使用、液氨制冷等重点风险领域开展专项治理，着力消除事故隐患，降低事故风险。</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40.全面开展城镇燃气安全排查整治。按照省的要求，对2000年前建设的燃气管道进行全方位安全评估、更新改造，督促餐饮场所全覆盖安装可燃气体报警装置。按照《佛山市城镇燃气安全排查整治工作实施方案》，持续开展城镇燃气安全排查整治工作。加强燃气热水器安全整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41.全面落实《佛山市自建房建筑安全隐患专项整治工作方案》，按照“谁拥有谁负责、谁使用谁负责、谁主管谁负责”的原则，坚持查漏洞、补短板，边排查、边整治，远近结合、标本兼治，重点围绕学校、医院、市场等公共设施周边用于经营的自建房，依法依规有序开展自建房建筑安全隐患专项整治工作，及时消除自建房重大安全风险隐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42.各区各有关部门要全面开展消防安全大检查，深入推进消防安全专项整治三年行动，狠抓高层建筑、地下建筑、大型综合体、石化企业、养老服务机构、幼儿教育场所、托育机构、文物古建筑、标志性建筑等重点场所和人员密集场所消防安全管理，全面开展“三合一”场所、生产经营租住村（居）民自建房消防安全“扫雷”行动，深化乡村地区电气火灾综合治理和电动自行车消防领域综合治理，紧盯集中隔离点、定点医院、方舱医院等涉疫重点场所消防安全管控，坚决确保全省火灾形势稳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43.各级各部门要精心组织“安全生产南粤行”，集中曝光一批安全生产违法行为并实行闭环管理。隐患问题曝光后5日内，属地党委、政府要责成相关职能部门作出回应。</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七、牢牢守住项目审批安全红线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44.各级发展改革、应急管理部门要会同相关职能部门，在立项阶段可能涉及安全生产风险的项目，对项目是否符合相应安全生产规划、条件和标准，相应安全防护措施技术上、工程上、经济上是否合理可行等进行安全风险联合评估。对达不到安全生产要求的项目，不得予以审批、核准，对完成告知性备案的项目依法予以撤销备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45.各级发展改革、自然资源、水利、交通运输、住房城乡建设、农业农村、文广旅体、应急管理等部门要严把建设项目审批关，严禁项目不符合安全生产条件就擅自开工建设，项目建设、施工等单位不得边审批、边设计、边施工。对地方政府违规审批、强行上马的不达标项目，造成事故的要终身追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46.深化我市工程建设项目招标投标制度改革，促进企业尤其央企、国企安全责任落实，全面提升重大工程项目建设质量，市政数局、市应急管理局等部门要加快出台《关于深化招标投标制度改革促进经济高质量发展若干措施的通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47.对涉及“两重点一重大”的危险化学品建设项目，建立联合审查机制，各级发展改革、自然资源、生态环境、住房城乡建设、应急管理等部门各司其职、加强协作，合力推动项目审查落地。新建危化品生产建设项目（资源类项目、为其他行业配套的危化品建设项目等除外）应进入化工园区。严格执行《佛山市危险化学品禁止、限制和控制目录（试行）》。</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48.各地要建立完善矿山建设项目安全风险评估与论证机制，各级发展改革、自然资源、应急管理、工业和信息化、生态环境等部门要各司其职、加强配合，严把项目审批关，对不符合矿业规划、达不到国家及地方最小开采规模的，不得予以相应审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49.各区各部门要深刻汲取近期典型事故教训，新、改、扩建铝加工（深井铸造）和钢铁冶金、粉尘涉爆等项目要有报警、联锁装置，提升行业本质安全水平。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八、严厉查处违法分包转包和挂靠资质行为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50.各中央驻粤、省属、市属企业要发挥安全生产带头表率作用，建立针对违法分包、转包的内部管理制度，加强对下属企业安全生产的指导、监督、考核、奖惩，发现违法分包、转包行为的必须对所在企业的主要负责人作出严肃处理，并通报有关部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51.各级工程建设相关行业主管部门要对所有建筑工地开展全覆盖的发包、分包行为进行检查，重点核查建设单位是否将工程发包给不具有相应资质条件的单位或个人，是否履行法定发包程序，是否支解发包，是否违反合同约定指定分包单位或材料供应厂商，是否按照合同约定拨付给施工企业工程款、人工费用等情况；核查项目施工总承包、专业承包（分包）、劳务企业是否具有工程承揽所需资质；是否将承包的工程转包给其他单位或个人；是否以联营、合作、个人承包等形式或名义，直接或变相转包、挂靠；是否将工程违法分包给不具备资质条件的单位或个人；是否将建设工程主体结构、关键性工作进行分包（钢结构工程除外）等情况。各级应急管理部门要对矿山外包工程进行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52.对发生较大及以上生产安全事故或存在违法分包、转包行为的涉事企业，工程建设相关行业主管部门要依法限制其在佛山市范围内参与招投标活动，提请发证机关依法暂扣或吊销其建筑施工安全生产许可证，由工程建设主管部门直接约谈集团公司主要负责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53.市级工程建设相关行业主管部门要定期在佛山电视台、《佛山日报》等主流媒体曝光一批违法转包、分包和挂靠典型案例，点人、点事、点具体，曝光一批、震慑一片。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54.持续强化企业对第三方外协作业的安全管理。对涉及第三方外协作业的，严格落实《安全生产法》第四十九条规定及《佛山市应急管理局关于进一步加强外包工程和高处作业安全管理工作的通知》（佛</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应急〔2020〕119号）要求，一要查验核实第三方作业人员的特种作业证件的真伪；二要对第三方作业人员进行教育培训和考核；三要确保对现场作业进行监督，四要对不符合安全作业条件的，一律不得允许实施作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九、切实加强劳务派遣和灵活用工人员安全管理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55.各类工程建设项目必须将接受其作业指令的劳务派遣人员、灵活用工人员纳入本单位从业人员安全生产的统一管理，与本单位人员同培训、同教育、同监督，推行实名制和班组管理。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56.各级负有安全生产监督管理职责的部门要结合本行业实际情况制定灵活用工人员安全管理办法，明确灵活用工人员数量、年龄、专业、工作经历等方面的要求。</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57.各区要深入排查辖区各建筑工地劳务派遣和灵活用工人员情况，全面摸清劳务派遣和灵活用工人员底数，重点核查劳务工人持证上岗、安全培训及安全管理等情况，严厉查处项目部和劳务单位安全生产各搞各的、没有实行统一管理等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58.各区各有关部门要推动建立企业安全生产培训指引清单，加强劳务派遣、灵活用工人员安全培训管理工作，加强对劳工派遣、灵活用工人员企业的安全检查工作，发动各培训机构加大对特种作业人员培训考证宣传，积极引导相关人员参加培训考证。</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十、重拳出击开展“打非治违”</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59.各区各有关部门要组织开展整治突出违法违规生产经营建设行为专项行动，建立联合执法机制，结合佛山实际，严厉打击涉渔“三无”船舶非法捕捞、建筑无资质施工和层层转包、私搭乱建铁皮棚等违章建筑、利用面包车或商务车非法营运、中介机构出具虚假报告以及用于住宿、生产、经营的易燃可燃彩钢板建筑等典型非法违法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60.“打非治违”实行“四个一律”，即：对非法生产经营建设和经停产整顿仍未达到要求的，一律关闭取缔；对非法违法生产经营建设的有关单位和责任人，一律按规定上限予以经济处罚；对存在违法生产经营建设行为的单位，一律依法责令停产整顿，并严格落实监管措施；对触犯法律的有关单位和人员，一律依法严格追究法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61.各区各有关部门在开展安全生产大检查期间，对顶风作案、屡禁不止和责任不落实、监管不到位、失职渎职的，依规依纪依法从重惩处并公开曝光，切实起到震慑警示和宣传教育的作用。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62.各区各有关部门要深挖严打违法行为背后的“保护伞”，对监管执法人员与不法企业“猫鼠一家”的腐败问题，坚决移交纪检监察机关严肃查处。</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63.各级应急管理部门要加大危险化学品企业安全生产执法检查力度，开展非法违法“小化工”整治，对可能存在非法储存经营危险化学品的“小化工”开展产品理化特性检测抽查，依法查处非法违法、超许可范围生产经营危险化学品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十一、坚决整治执法检查“宽松软”问题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64.各级执法部门要深入研究本行业领域事故规律特点、明确本行业领域重点执法事项，综合运用专家指导服务、用水用电监测等手段发现问题，对同类问题屡查屡犯、反复发生的，依法顶格处罚，解决安全检查查不出问题的顽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65.各区要严格执行新《安全生产法》《行政处罚法》，全面落实行政执法公示制度、执法全过程记录制度、重大执法决定法制审核制度，坚持严格规范文明执法，不断提高安全生产行政处罚率。市级应急管理部门每季度、区级应急管理部门每2个月至少通过省执法信息系统报送1个典型执法案例，实现报送率、合格率均达到“100%”，解决检查多、执法少的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66.各级执法部门对执法检查中发现的各类违法行为，要盯住不放，督促企业彻底整改，严格执法闭环管理，做到有检查、有整改、有落实，防止只检查不跟踪的问题。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67.市安委会成员单位要会同有关部门建立健全安全生产行政执法与刑事司法衔接制度，加大事故前危险作业违法行为刑事责任追究力度，防止以罚代刑。</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68.各级应急管理部门要严格执行国家安全生产失信行为联合惩戒制度，对存在严重违法行为的失信主体坚决报送纳入全国安全生产失信惩戒名单，督促指导同级相关部门落实联合惩戒措施，防止只纳入不惩戒，起到应有的惩戒作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69.各级应急管理部门要制定执法计划，严格执行执法公示制度、执法全过程记录制度和重大执法决定法制审核制度，强化精准严格执法，加大重大事故隐患和安全生产违法违规行为查处力度。</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十二、加强安全监管执法队伍建设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70.各区要认真贯彻落实《广东省深化应急管理综合行政执法改革实施方案》，坚持安全生产执法工作只能加强、不能削弱，配齐建强市、区两级安全生产执法队伍，聘用辅助安全生产执法的技术检查员，既不得以改革为名层层下放执法责任，也不得简单撤并安全生产执法队伍。国家、省、市、区级化工园区安全管理机构专业监管执法人员原则上分别不少于10人、6人、4人、4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71.各区要加强安全生产执法人员的专业化建设，执法人员新入职培训不得少于3个月，每年参加不少于2周的复训。市、区两级应急管理部门具有安全生产相关学历、职业资格和实践经验的执法人员数量，不得低于在职执法人员的75%。</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72.市、区要严格按照《综合行政执法制式服装和标志管理办法》《应急管理综合行政执法装备配备标准（试行）》等要求，为安全生产执法队伍统一配发执法制服，配备执法车辆、移动执法终端、便携式执法笔记本电脑、执法记录仪、对讲机、激光测距仪、多功能气体检测仪、安全帽等装备，配足配齐必要的执法装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73.市、区、镇（街道）要按照财政事权与支出责任相适应的原则，将安全生产执法装备、服装、用车、用房、办案和信息化建设等工作经费纳入同级财政预算管理，落实执法人员工资待遇保障政策，依法为执法人员参加工伤保险、鼓励购买人身意外保险。</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74.各级应急管理部门要经常性地组织开展安全生产执法队伍岗位比武练兵，推动执法人员提高实战能力、锤炼工作作风、规范执法行为。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75.市、区要按照“机构完善、权责明晰、行为规范、保障有力”的综合执法体系标准，有序推进应急管理行政执法标准化创建工作，实现全市应急管理综合行政执法队伍组织建设、队伍管理、执法行为、执法保障标准化，提高执法规范化能力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76.市、区应急管理部门要鼓励监管人员报考注册安全工程师、网络自学、不定期多渠道向监管人员发放培训课件等方式提升能力和专业素养；采取五区交叉检查或赴外地开展交流等方式，学习先进监管经验，拓展监管人员视野、提升工作能力。</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十三、重赏重奖安全生产隐患举报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77.各级要向社会公布政府服务便民热线12345、安全生产举报热线12350和负有安全生产监管职责的部门联系方式，鼓励公众通过电话、网站、来信等多种方式，对重大风险、事故隐患和违法行为进行举报。12350要接入各级应急指挥中心，确保24小时有人接听。</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78.矿山、金属冶炼、建筑施工、运输单位和危险物品的生产、经营、储存、装卸单位应当建立“吹哨人”制度，建立健全企业内部举报奖励机制，把12345、12350及属地监管部门安全生产投诉举报电话等信息张贴在办公楼、作业面等场所的醒目位置，支持和鼓励内部员工积极举报身边的安全生产违法行为。各级各部门要依法保护举报人合法权益，不得打击报复举报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79.各级要建立安全生产举报首问责任制，确保举报事项件件能解决、事事有回音，并按照《广东省安全生产领域举报处理办法》等各有关规定重奖举报有功人员。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十四、严肃查处瞒报谎报迟报漏报事故行为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80.各级要严格执行生产安全事故直报制度，收到瞒报、谎报、迟报、漏报事故相关举报投诉的，一经核实、严肃处理。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81.对存在瞒报、谎报、迟报、漏报事故行为的单位和个人，要依规依纪依法从严追究责任。属于党员、干部以及监察对象的，要移交纪检监察机关严肃处理。82.对涉及瞒报、谎报、迟报、漏报的事故，上级安委会必须挂牌督办或者提级调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83.强化对各级应急管理部门的值班值守和事故报告的指引，规范事故报告流程，减少层层审批的环节，提高事故报告的效率。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十五、统筹做好经济发展、疫情防控和安全生产</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84.各级在本辖区规划发展、政策执行、工作布局中，要统筹好经济发展、疫情防控和安全生产工作，着力保持平稳健康的经济环境、风清气正的政治环境、国泰民安的社会环境。</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85.各级各有关部门要高度重视交通、民航、餐饮、旅游等受疫情影响较大的行业领域纾困问题，精准施策、定向纾困，防止企业因经营困难、安全投入不足引发事故。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86.贯彻落实《佛山市安全生产轻微违法行为不予行政处罚清单》，进一步优化营商环境，激发市场主体活力，提高行政执法效能。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87.根据市防疫工作统一部署，加强对防疫物资生产企业安全生产指导，严防生产安全事故给防疫工作带来被动；指导企业完善应急预案中的疫情防控专项预案，严防疫情导致生产安全事故。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88.疫情下要做好线上“云课堂”视频学习的发动工作，督促全市企业和从业人员利用“云课堂”进行线上全员培训学习，为企业减轻经济负担。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9"/>
        <w:rPr>
          <w:rFonts w:hint="eastAsia" w:ascii="宋体" w:hAnsi="宋体" w:eastAsia="宋体" w:cs="宋体"/>
          <w:b w:val="0"/>
          <w:bCs w:val="0"/>
          <w:color w:val="auto"/>
          <w:sz w:val="44"/>
          <w:szCs w:val="44"/>
          <w:u w:val="none"/>
          <w:vertAlign w:val="baseline"/>
          <w:lang w:val="en-US" w:eastAsia="zh-CN"/>
        </w:rPr>
      </w:pPr>
      <w:r>
        <w:rPr>
          <w:rFonts w:hint="eastAsia" w:ascii="宋体" w:hAnsi="宋体" w:eastAsia="宋体" w:cs="宋体"/>
          <w:b w:val="0"/>
          <w:bCs w:val="0"/>
          <w:color w:val="auto"/>
          <w:sz w:val="44"/>
          <w:szCs w:val="44"/>
          <w:u w:val="none"/>
          <w:vertAlign w:val="baseline"/>
          <w:lang w:val="en-US" w:eastAsia="zh-CN"/>
        </w:rPr>
        <w:br w:type="page"/>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0"/>
        <w:rPr>
          <w:rFonts w:hint="eastAsia" w:ascii="宋体" w:hAnsi="宋体" w:eastAsia="宋体" w:cs="宋体"/>
          <w:b w:val="0"/>
          <w:bCs w:val="0"/>
          <w:color w:val="auto"/>
          <w:sz w:val="44"/>
          <w:szCs w:val="44"/>
          <w:u w:val="none"/>
          <w:vertAlign w:val="baseline"/>
          <w:lang w:val="en-US" w:eastAsia="zh-CN"/>
        </w:rPr>
      </w:pPr>
      <w:bookmarkStart w:id="3" w:name="_Toc17797"/>
      <w:r>
        <w:rPr>
          <w:rFonts w:hint="eastAsia" w:ascii="宋体" w:hAnsi="宋体" w:eastAsia="宋体" w:cs="宋体"/>
          <w:b w:val="0"/>
          <w:bCs w:val="0"/>
          <w:color w:val="auto"/>
          <w:sz w:val="44"/>
          <w:szCs w:val="44"/>
          <w:u w:val="none"/>
          <w:vertAlign w:val="baseline"/>
          <w:lang w:val="en-US" w:eastAsia="zh-CN"/>
        </w:rPr>
        <w:t>【市水利局安全生产“60条”措施】</w:t>
      </w:r>
      <w:bookmarkEnd w:id="3"/>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为贯彻落实习近平总书记关于安全生产工作的重要指示，深入落实国务院安委会《关于进一步强化安全生产责任落实坚决防范遏制重特大事故的若干措施》（以下简称“安全生产十五条措施”）、省安委会《广东省关于进一步强化安全生产责任落实坚决防范遏制重特大事故的若干措施》（以下简称“省安全生产65条措施”）、市安委会《佛山市贯彻安全生产“十五条”重要措施实施细则》（以下简称“市实施细则”）以及省有关部门贯彻落实安全生产十五条措施、省安全生产65条措施等文件要求，进一步加强我市水务安全生产工作，坚决防范遏制重特大事故发生，结合我局工作实际制定以下实施细则。</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一、严格落实地方党委安全生产责任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1. 党组理论中心组及时学习贯彻习近平总书记关于安全生产重要论述，树牢人民至上、生命至上理念，大力推进安全发展。（机关党委办公室、安全与质量监督科牵头，局各科室按职责分工负责）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 实行安全生产“党政同责、一岗双责”制度，局主要负责同志对安全生产工作全面负责。局党组会议或局长办公会议每半年至少召开一次专题会议研究部署安全生产工作，解决行业内重大风险隐患和安全生产重大问题。（人事科、办公室、安全与质量监督科牵头，局各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二、严格落实安全生产监管责任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 建立健全市水利局及沙口水利枢纽站安全生产领导小组，由主要负责同志担任组长，及时研究解决安全生产突出问题。分管安全生产工作的负责同志是安全生产工作综合监管直接责任人，具体负责抓好局安全生产工作职责的落实；其他负责同志对其分管领域及联系单位的安全生产工作负责。全局领导干部要严格履职，切实抓好管理领域安全生产工作，并把安全生产工作贯穿业务工作全过程。（安全与质量监督科、人事科牵头，局各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制定市水利局安全生产工作职责规定，明确局安全生产领导小组工作职责、局各科室职责及沙口水利枢纽站职责等安全生产有关制度。局主要负责同志与分管负责同志、局分管负责同志与分管业务科室主要负责人签订安全生产责任书，明确年度安全生产重点任务与责任目标。（安全与质量监督科牵头，局各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根据《佛山市水利发展“十四五”规划》，系统研究我市水务行业面临的新形势，围绕“补短板、强监管、促改革”，落实水安全的强监管任务和改革举措，深入研判排查存在的安全生产风险隐患。（安全与质量监督科、规划法规科牵头，局各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三、严格落实水务重点领域安全监管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 强化在建水务工程施工现场监管，加强对高边坡、深基坑、脚手架、高支模、起重吊装、围堰、复杂地质条件下的洞室工程、有限空间作业等风险较大的薄弱环节的监管。（安全与质量监督科、建设管理科、供排水管理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7.加强对市政供排水工程建设、运营期间沟槽开挖、起重机吊装、有限空间作业、临时用电、深基坑作业等重点领域的安全监管。（安全与质量监督科、供排水管理科、水资源管理科负责）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8. 进一步抓好在建水利工程安全度汛工作，督促指导有度汛任务的在建水利工程编制度汛方案、超标准洪水应急预案。组织对穿（破）堤施工的在建水利工程建立清单，实行重点监管、动态监管，完成一项、销号一项。对水库新建工程和除险加固工程蓄水安全鉴定工作进行全面排查。（建设管理科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9. 加快推进病险水库除险加固，督促南海、高明、三水区切实落实水库安全鉴定和除险加固责任，分解目标任务，加强项目实施过程中的安全管理和质量控制，保障按计划完成水库除险加固年度任务。强化项目进度管理，定期通报实施情况，对除险加固项目推进不力、建设进展缓慢的区，采取督促措施。汛前不能完成的，要落实限制运用措施，加强巡查值守，确保工程度汛安全。（建设管理科、运行管理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10. 加强水库安全度汛管理，督促指导南海、高明、三水区明确水库大坝安全责任人和小型水库防汛“三个责任人”。主汛期病险水库原则上一律空库运行；不能空库运行的，要落实安全责任和限制运用措施，强化监测预警和巡查值守，加强应急管理，确保水库安全度汛。（运行管理科、水旱灾害防御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11. 督促指导各区压紧压实农村供水工程和灌区、灌排泵站安全生产责任。监管高明区全面落实小水电站安全生产“三个责任”，强化安全风险隐患排查治理。（运行管理科、水资源管理科负责）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12.加快开展防汛查漏补缺项目整改，涉及汛期安全度汛的项目，应立即整改，一时难以整改到位的，应落实应急预案；涉及规划、建设和法律法规的项目，持续推进整改。指导开展山洪风险隐患排查整治，强化山洪灾害监测预警，完善防御预案，全力防范化解山洪灾害风险。（水旱灾害防御科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13. 做好水务办公场所、人员密集场所、档案馆（室）、库房、机房以及水利风景区、水务后勤保障等领域的安全生产工作，防范火灾、爆炸和踩踏等安全事故。（办公室、运行管理科、水旱灾害防御科、供排水管理科、水资源管理科、沙口水利枢纽站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14. 深入推进本行业领域安全生产专项整治，全面落实安全生产“一线三排”机制，对重大安全风险隐患实施挂牌督办、闭环销号。（安全与质量监督科负责）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15.按照“三定方案”和部门安全生产职责，编制局安全生产综合监管和业务监管职责清单。按市安委会的具体要求，编制市水利局安全生产权力清单和责任清单，利用我局网站、微信公众号等平台向社会公开，接受社会监督。（安全与质量监督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16.督促各区全面梳理、认真评估涉及安全生产审批下放事项，对基层接不住、监管跟不上的，要按照法律法规的规定及时予以收回。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17. 充分运用信息化手段，在用好水利部水利安全生产信息系统的基础上，加快建设我市水务行业领域“智慧水利”信息化系统，坚持以信息化推进安全生产治理体系和治理能力现代化。推进“安全监管+信息化”，开展水利安全生产状况评价并实施风险预警，对风险较高地区和单位开展精准监管。（安全与质量监督科、办公室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四、加强安全生产工作考核和责任追究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18. 将安全生产责任落实情况纳入对领导班子和领导干部的年度考核。对在安全生产工作方面出现问题、影响较大或因工作不力造成生产安全事故的，涉较大以上事故工程业务领域分管领导及相关责任人在年度考核中不得评优。（人事科牵头，局直属各单位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19. 建立安全生产问题隐患清单移交移送机制，将稽察、安全生产巡查等监督检查中发现的重大安全隐患移交各业务科室进行分类指导，举一反三推进各区排查整改。（安全与质量监督科牵头，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五、督促指导水务生产经营单位提高管理水平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20. 加强水务工程标准化管理，组织开展水利工程标准化规范化管理评价，推进水务工程标准化规范化管理。（运行管理科、供排水管理科、水资源管理科负责）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21. 组织开展农村供水保障技术培训，实行小水电站安全风险隐患排查整治台账管理。推进大中型灌区、灌排泵站标准化规范管理。（运行管理科、水资源管理科负责）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22. 加强水利、市政供排水安全生产标准化建设，开展达标单位动态监管。（安全与质量监督科、运行管理科、供排水管理科、水资源管理科按职责分工负责）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23.水务生产经营单位法定代表人、实际控制人、实际负责人要严格履行安全生产第一责任人责任，对本单位安全生产负总责，严格落实高处作业“五个必须”、动火作业“六大禁令”、有限空间作业“七不准”、在建涉水地下工程“六项措施”，建立健全“一线三排”机制，抓好水务行业消防、森林防火工作和落实危大工程动工前主动报告制度。（安全与质量监督科统筹推进，相关职能科室配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24.对在水务工程建设施工中项目负责人强令工人违章冒险作业，一经发现，监管执法部门要坚决移送司法机关依法追究刑事责任。（局有关科室按职责分工负责）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六、深入开展水务安全生产大检查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25. 组织开展水务安全生产大检查，对各类水务生产经营单位开展全面排查，及时消除隐患。要深入排查重大风险隐患，列出清单、明确要求、压实责任、限期整改，坚决防止风险隐患演变为重特大事故。对排查整治不认真，未列入清单、经查属于重大隐患的，要当作事故对待，引发事故的要从重追究责任。（安全与质量监督科牵头，局有关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26. 深入推进水务安全生产专项整治行动，聚焦水务工程建设、水务工程运行、水务设施消防、森林防火等重点领域，全面排查治理风险隐患，防范化解水务行业重大安全风险，确保各项专项整治任务取得实效。（安全与质量监督科牵头，局有关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27. 开展水旱灾害防御、水务工程建设与运行等安全生产有关日常监督检查。（局有关科室按职责分工负责）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28.市水利局指导各区局督促辖区内水务生产经营单位开展全面自查自纠工作，严格按照安全生产大检查的要求，全面排查治理各类安全风险隐患，按规定建立问题隐患清单，做到安全隐患整改责任、措施、资金、时限、预案“五落实”，坚决防止风险隐患演变为生产安全事故。（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29.按照印发的《关于进一步加强水务行业安全生产和风险防范工作的通知》要求，对在建水务工程施工安全、度汛安全、供排水设施有限空间作业等重点风险领域开展专项治理，着力消除事故隐患，降低事故风险。（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30.开展安全生产大检查期间，集中曝光一批安全生产违法行为并实行闭环管理，对顶风作案、屡禁不止和责任不落实、监管不到位、失职渎职的，依规依纪依法从重惩处并公开曝光，切实起到震慑警示和宣传教育的作用。（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七、严格水务工程设计、审批安全审查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31. 严格按照国家法律法规、水务工程建设强制性标准条文及相关规程规范开展技术审查，突出水工建筑物洪水标准、防洪能力、抗震设计与结构安全的审查，保障水务工程安全；重视劳动安全与工业卫生、安全措施等内容的审查，做到安全设施、措施费用足额计列。（建设管理科、供排水管理科、水资源管理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32. 严把建设项目审批关，严禁项目不符合安全生产条件就擅自开工建设，项目建设、施工等单位不得边审批、边设计、边施工。对地方政府违规审批、强行上马的不达标项目，造成事故的要终身追责。（建设管理科、供排水管理科、水资源管理科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33.深刻汲取水务工程典型事故教训，紧盯涉水地下隧道工程、施工动火作业、供排水管网有限空间作业等项目，督促生产经营单位落实相关风险管控措施，提升行业安全水平。（局有关科室按职责分工负责）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八、严厉查处违法分包转包和挂靠资质行为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34. 落实监管责任，按照项目管理权限和“谁主管，谁监管”的原则，加强对水务建设项目施工转包、违法分包行为的查处，重点核查建设单位是否将工程发包给不具有相应资质条件的单位或个人，是否履行法定发包程序，是否支解发包，是否违反合同约定指定分包单位或材料供应厂商，是否按照合同约定拨付给施工企业工程款、人工费用等情况；核查项目施工总承包、专业承包（分包）、劳务企业是否具有工程承揽所需资质；是否将承包的工程转包给其他单位或个人；是否将工程违法分包给不具备资质条件的单位或个人；是否将建设工程主体结构、关键性工作进行分包（钢结构工程除外）等情况。（建设管理科、供排水管理科、水资源管理科等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35. 严格资质管理，按照行政许可有关要求规范实施资质认定，加强过程控制管理，坚持“谁的资质谁负责、挂谁的牌子谁负责”，对发生生产安全事故的，根据事故调查机关意见建议，严格追究资质方的责任，依法依规作出处理，遏制出借资质、无序扩张等行为。（建设管理科、供排水管理科、水资源管理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36.对发生较大及以上生产安全事故或存在违法分包、转包行为的涉事企业，要依法限制其在佛山市范围内参与招投标活动，提请发证机关依法暂扣或吊销其建筑施工安全生产许可证，按规定直接约谈企业主要负责人。（建设管理科、供排水管理科、水资源管理科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37.指导各区按规定上报安全生产执法典型案例，按要求在我市主流媒体曝光一批违法转包、分包和挂靠典型案例，有效震慑此类行为。（安全与质量监督科、建设管理科、规划法规科负责）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38.持续强化水务工程建设单位对第三方外协作业的安全管理。对涉及第三方外协作业的，严格落实《安全生产法》第四十九条规定，一要查验核实第三方作业人员的特种作业证件的真伪；二要对第三方作业人员进行教育培训和考核；三要加强对现场作业进行监督，四要对不符合安全作业条件的，一律不得允许实施作业。（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九、切实加强劳务派遣和灵活用工人员安全管理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39. 将在建水务工程各参建单位对劳务派遣和灵活用工人员的安全生产管理情况纳入工程建设安全生产巡查，督促生产经营单位落实全员安全生产责任制。（建设管理科、供排水管理科、水资源管理科、安全与质量监督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40.各类水务工程建设项目必须将接受其作业指令的劳务派遣人员、灵活用工人员纳入本单位从业人员安全生产的统一管理，与本单位人员同培训、同教育、同监督，推行实名制和班组管理。（建设管理科、供排水管理科、水资源管理科、安全与质量监督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41.结合本行业实际情况制定劳务派遣和灵活用工人员安全管理规定。（建设管理科牵头、供排水管理科、水资源管理科等按职责分工配合）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42.指导各区局深入排查辖区各建筑工地劳务派遣和灵活用工人员情况，全面摸清劳务派遣和灵活用工人员底数，重点核查劳务工人持证上岗、安全培训及安全管理等情况，严厉查处项目部和劳务单位安全生产没有实行统一管理等问题。（建设管理科、供排水管理科、水资源管理科、安全与质量监督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43.联合有关部门推动建立企业安全生产培训指引清单，加强劳工派遣、灵活用工人员安全培训管理工作，加强对劳工派遣、灵活用工人员企业的安全检查工作，积极引导相关人员参加培训考证。（局有关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十、重拳出击开展“打非治违”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44. 开展妨碍河道行洪突出问题专项整治，清理整治河道管理范围内阻水严重的违法违规建筑物、构筑物。开展河道非法洗泥洗砂问题整治和非法采砂专项整治，严厉查处非法洗泥洗砂、违法盗采河砂、违法运砂行为。（水政监察支队、河湖管理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45. 开展“防汛保安”专项执法行动，将妨碍河道行洪、影响水库防洪安全等涉及安全生产的违法问题，作为依法打击的重点内容，确保防汛安全。（水政监察支队牵头，运行管理科、河湖管理科、安全与质量监督科、水旱灾害防御科按职责分工配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46.联合有关部门组织开展整治突出违法违规生产经营建设行为专项行动，建立联合执法机制，结合我市实际，严厉打击建筑无资质施工和层层转包、私搭乱建铁皮棚等违章建筑、中介机构出具虚假报告等典型非法违法行为。（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47.配合有关部门深挖严打违法行为背后的“保护伞”，对监管执法人员与不法企业“猫鼠一家”的腐败问题，发现线索，坚决移交纪检监察机关严肃处理。（水政监察支队负责）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十一、坚决整治监督检查和行政执法宽松软问题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48. 加强水务安全生产领域行政执法监督，强化结果运用，着重解决执法不作为、乱作为问题，推动严格规范公正文明执法。（规划法规科、安全与质量监督科按职责分工负责）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49. 对执法检查中发现的各类违法行为，要盯住不放，督促彻底整改，严格执法闭环管理，切实做到有检查、有整改、有落实，防止只检查不跟踪的问题。（局有关科室按职责分工负责）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50. 建立健全水行政执法与检察公益诉讼协作机制，加强涉水领域检察公益诉讼工作。（规划法规科、水政监察支队按职责分工负责）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十二、加强安全监管执法队伍建设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51.加强安全生产执法人员的专业化建设，执法人员应加强学习、积累实践经验，提升执法水平。（规划法规科、人事科负责）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52.积极协调财政部门按照财政事权与支出责任相适应的原则，将安全生产执法工作经费纳入同级财政预算管理，依法为执法人员参加工伤保险、鼓励购买人身意外保险。（办公室负责）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53.采取五区交叉检查或赴外地开展交流等方式，学习先进监管经验，拓展监管人员视野、提升工作能力。（局有关科室按职责分工负责）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十三、加强水务安全生产隐患举报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54. 畅通公众水务安全生产问题举报渠道，鼓励支持社会公众通过来信来访、12345 政务服务便民热线等途径反映涉水安全生产重大风险、事故隐患和违法行为，对举报的安全生产问题线索认真核实查处。（办公室、规划法规科、安全与质量监督科等科室按职责分工负责）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55. 督促水务生产经营单位建立健全企业内部举报奖励机制，把安全生产投诉举报电话等信息张贴在办公楼、作业面等场所的醒目位置，支持和鼓励内部员工积极举报身边的安全生产违法行为。（安全与质量监督科牵头，局有关科室按职责分工负责）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十四、严肃查处瞒报谎报迟报漏报事故行为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56.严格执行生产安全事故直报制度，收到瞒报、谎报、迟报、漏报事故相关举报投诉的，应当依法及时调查核实，一经核实、严肃处理。（安全与质量监督科，规划法规科牵头，局有关科室按职责分工负责）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57.对存在瞒报谎报迟报漏报事故行为的单位和个人，要依规依纪依法从严追究责任。属于党员、干部以及监察对象的，要移交纪检监察机关严肃处理。（机关党委办公室、人事科、安全与质量监督科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58.强化对各级水利部门值班值守和安全生产事故报告的指引，规范事故报告流程，减少层层审批的环节，提高事故报告的效率。（安全与质量监督科、水旱灾害防御科负责）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十五、统筹做好经济发展、疫情防控和安全生产工作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59. 提高思想认识，清醒认识当前做好经济发展、疫情防控和安全生产这三项工作是一个整体，坚持稳中求进，从实际出发，协调有序推进各项工作。严格执行新冠肺炎疫情防控有关规定和要求，深入分析和妥善应对疫情给安全生产工作带来的影响，结合实际落实和强化安全管控措施，有效防范遏制水务生产安全事故。（局有关科室、直属单位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60.贯彻落实《佛山市安全生产轻微违法行为不予行政处罚清单》，进一步优化营商环境，激发市场主体活力，提高行政执法效能。（局有关科室按职责分工负责）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安全生产是人命关天的大事，事关“国之大者”。局各科室、各单位必须高度重视，始终坚持人民至上、生命至上，统筹发展和安全，以高度的思想自觉、政治自觉和行动自觉，强化组织领导，压实工作责任，持续降低安全风险，进一步做好水务安全生产工作，以实际行动牢牢守住安全生产底线，切实维护人民群众生命财产安全。 </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br w:type="page"/>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right="0" w:rightChars="0"/>
        <w:jc w:val="left"/>
        <w:textAlignment w:val="auto"/>
        <w:outlineLvl w:val="0"/>
        <w:rPr>
          <w:rFonts w:hint="eastAsia" w:ascii="宋体" w:hAnsi="宋体" w:eastAsia="宋体" w:cs="宋体"/>
          <w:b w:val="0"/>
          <w:bCs w:val="0"/>
          <w:color w:val="auto"/>
          <w:sz w:val="44"/>
          <w:szCs w:val="44"/>
          <w:u w:val="none"/>
          <w:vertAlign w:val="baseline"/>
          <w:lang w:val="en-US" w:eastAsia="zh-CN"/>
        </w:rPr>
      </w:pPr>
      <w:bookmarkStart w:id="4" w:name="_Toc26154"/>
      <w:r>
        <w:rPr>
          <w:rFonts w:hint="eastAsia" w:ascii="宋体" w:hAnsi="宋体" w:eastAsia="宋体" w:cs="宋体"/>
          <w:b w:val="0"/>
          <w:bCs w:val="0"/>
          <w:color w:val="auto"/>
          <w:sz w:val="44"/>
          <w:szCs w:val="44"/>
          <w:u w:val="none"/>
          <w:vertAlign w:val="baseline"/>
          <w:lang w:val="en-US" w:eastAsia="zh-CN"/>
        </w:rPr>
        <w:t>【南海区“十五条”重要措施实施细则】</w:t>
      </w:r>
      <w:bookmarkEnd w:id="4"/>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为贯彻落实习近平总书记关于安全生产工作的重要指示和全国安全生产电视电话会议精神，根据国务院安委会《关于进一步强化安全生产责任落实坚决防范遏制重特大事故的若干措施》提出的“十五条”重要措施，区安委会在《广东省关于进一步强化安全生产责任落实坚决防范遏制重特大事故的若干措施》和《</w:t>
      </w:r>
      <w:r>
        <w:rPr>
          <w:rFonts w:hint="eastAsia" w:ascii="仿宋_GB2312" w:hAnsi="仿宋_GB2312" w:eastAsia="仿宋_GB2312" w:cs="仿宋_GB2312"/>
          <w:b w:val="0"/>
          <w:bCs w:val="0"/>
          <w:color w:val="auto"/>
          <w:sz w:val="28"/>
          <w:szCs w:val="28"/>
          <w:u w:val="none"/>
          <w:vertAlign w:val="baseline"/>
          <w:lang w:val="zh-CN" w:eastAsia="zh-CN"/>
        </w:rPr>
        <w:t>佛山市贯彻安全生产“十五条”重要措施实施细则</w:t>
      </w:r>
      <w:r>
        <w:rPr>
          <w:rFonts w:hint="eastAsia" w:ascii="仿宋_GB2312" w:hAnsi="仿宋_GB2312" w:eastAsia="仿宋_GB2312" w:cs="仿宋_GB2312"/>
          <w:b w:val="0"/>
          <w:bCs w:val="0"/>
          <w:color w:val="auto"/>
          <w:sz w:val="28"/>
          <w:szCs w:val="28"/>
          <w:u w:val="none"/>
          <w:vertAlign w:val="baseline"/>
          <w:lang w:val="en-US" w:eastAsia="zh-CN"/>
        </w:rPr>
        <w:t>》的基础上，结合我区安全生产工作实际，制定以下实施细则。</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一、严格落实地方党委安全生产责任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将习近平总书记关于应急管理、安全生产、防灾减灾救灾及防范化解重大风险的重要论述和重要指示批示精神纳入区、镇（街道）两级党（工）委及区、镇（街道）安委成员单位党委（党组）理论学习中心组专题学习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区、镇（街道）党委主要负责同志担任本级安全生产委员会主任，严格落实“党政同责、一岗双责、齐抓共管、失职追责”，综合运用巡查督查、考核考察、激励奖惩等措施加强安全生产工作的组织领导。把安全生产纳入各级党委重要议事日程和向区委、镇（街道）党（工）委全会报告工作内容。把落实安全生产责任制情况纳入区委督查督办内容。</w:t>
      </w:r>
      <w:r>
        <w:rPr>
          <w:rFonts w:hint="eastAsia" w:ascii="仿宋_GB2312" w:hAnsi="仿宋_GB2312" w:eastAsia="仿宋_GB2312" w:cs="仿宋_GB2312"/>
          <w:b w:val="0"/>
          <w:bCs w:val="0"/>
          <w:color w:val="auto"/>
          <w:sz w:val="28"/>
          <w:szCs w:val="28"/>
          <w:u w:val="none"/>
          <w:vertAlign w:val="baseline"/>
          <w:lang w:val="zh-CN" w:eastAsia="zh-CN"/>
        </w:rPr>
        <w:t>将安全生产纳入区、镇（街道）党委负责人集中培训的重要内容。</w:t>
      </w:r>
      <w:r>
        <w:rPr>
          <w:rFonts w:hint="eastAsia" w:ascii="仿宋_GB2312" w:hAnsi="仿宋_GB2312" w:eastAsia="仿宋_GB2312" w:cs="仿宋_GB2312"/>
          <w:b w:val="0"/>
          <w:bCs w:val="0"/>
          <w:color w:val="auto"/>
          <w:sz w:val="28"/>
          <w:szCs w:val="28"/>
          <w:u w:val="none"/>
          <w:vertAlign w:val="baseline"/>
          <w:lang w:val="en-US" w:eastAsia="zh-CN"/>
        </w:rPr>
        <w:t>其他党委会成员要按照职责分工，协调纪检监察机关和组织、宣传、政法、机构编制等单位支持保障安全生产工作。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3.区、镇（街道）每季度至少召开一次常委会会议、党（工）委会议专题研究安全生产工作，研究解决辖区内重大风险隐患和应急管理、消防部门领导班子</w:t>
      </w:r>
      <w:r>
        <w:rPr>
          <w:rFonts w:hint="eastAsia" w:ascii="仿宋_GB2312" w:hAnsi="仿宋_GB2312" w:eastAsia="仿宋_GB2312" w:cs="仿宋_GB2312"/>
          <w:b w:val="0"/>
          <w:bCs w:val="0"/>
          <w:color w:val="auto"/>
          <w:sz w:val="28"/>
          <w:szCs w:val="28"/>
          <w:u w:val="none"/>
          <w:vertAlign w:val="baseline"/>
          <w:lang w:val="zh-CN" w:eastAsia="zh-CN"/>
        </w:rPr>
        <w:t>、监管队伍建设、执法力量建设、应急能力建设等重大问题，尽快补齐镇街、开发区、工业园区等基层应急体制改革短板。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4.根据</w:t>
      </w:r>
      <w:r>
        <w:rPr>
          <w:rFonts w:hint="eastAsia" w:ascii="仿宋_GB2312" w:hAnsi="仿宋_GB2312" w:eastAsia="仿宋_GB2312" w:cs="仿宋_GB2312"/>
          <w:b w:val="0"/>
          <w:bCs w:val="0"/>
          <w:color w:val="auto"/>
          <w:sz w:val="28"/>
          <w:szCs w:val="28"/>
          <w:u w:val="none"/>
          <w:vertAlign w:val="baseline"/>
          <w:lang w:val="zh-CN" w:eastAsia="zh-CN"/>
        </w:rPr>
        <w:t>《广东省市县党政领导干部安全生产重点职责工作清单》，制定</w:t>
      </w:r>
      <w:r>
        <w:rPr>
          <w:rFonts w:hint="eastAsia" w:ascii="仿宋_GB2312" w:hAnsi="仿宋_GB2312" w:eastAsia="仿宋_GB2312" w:cs="仿宋_GB2312"/>
          <w:b w:val="0"/>
          <w:bCs w:val="0"/>
          <w:color w:val="auto"/>
          <w:sz w:val="28"/>
          <w:szCs w:val="28"/>
          <w:u w:val="none"/>
          <w:vertAlign w:val="baseline"/>
          <w:lang w:val="en-US" w:eastAsia="zh-CN"/>
        </w:rPr>
        <w:t>区、镇（街道）党（工）委领导干部安全生产</w:t>
      </w:r>
      <w:r>
        <w:rPr>
          <w:rFonts w:hint="eastAsia" w:ascii="仿宋_GB2312" w:hAnsi="仿宋_GB2312" w:eastAsia="仿宋_GB2312" w:cs="仿宋_GB2312"/>
          <w:b w:val="0"/>
          <w:bCs w:val="0"/>
          <w:color w:val="auto"/>
          <w:sz w:val="28"/>
          <w:szCs w:val="28"/>
          <w:u w:val="none"/>
          <w:vertAlign w:val="baseline"/>
          <w:lang w:val="zh-CN" w:eastAsia="zh-CN"/>
        </w:rPr>
        <w:t>“职责清单”和“年度任务清单”</w:t>
      </w:r>
      <w:r>
        <w:rPr>
          <w:rFonts w:hint="eastAsia" w:ascii="仿宋_GB2312" w:hAnsi="仿宋_GB2312" w:eastAsia="仿宋_GB2312" w:cs="仿宋_GB2312"/>
          <w:b w:val="0"/>
          <w:bCs w:val="0"/>
          <w:color w:val="auto"/>
          <w:sz w:val="28"/>
          <w:szCs w:val="28"/>
          <w:u w:val="none"/>
          <w:vertAlign w:val="baseline"/>
          <w:lang w:val="en-US" w:eastAsia="zh-CN"/>
        </w:rPr>
        <w:t>，</w:t>
      </w:r>
      <w:r>
        <w:rPr>
          <w:rFonts w:hint="eastAsia" w:ascii="仿宋_GB2312" w:hAnsi="仿宋_GB2312" w:eastAsia="仿宋_GB2312" w:cs="仿宋_GB2312"/>
          <w:b w:val="0"/>
          <w:bCs w:val="0"/>
          <w:color w:val="auto"/>
          <w:sz w:val="28"/>
          <w:szCs w:val="28"/>
          <w:u w:val="none"/>
          <w:vertAlign w:val="baseline"/>
          <w:lang w:val="zh-CN" w:eastAsia="zh-CN"/>
        </w:rPr>
        <w:t>将安全生产</w:t>
      </w:r>
      <w:r>
        <w:rPr>
          <w:rFonts w:hint="eastAsia" w:ascii="仿宋_GB2312" w:hAnsi="仿宋_GB2312" w:eastAsia="仿宋_GB2312" w:cs="仿宋_GB2312"/>
          <w:b w:val="0"/>
          <w:bCs w:val="0"/>
          <w:color w:val="auto"/>
          <w:sz w:val="28"/>
          <w:szCs w:val="28"/>
          <w:u w:val="none"/>
          <w:vertAlign w:val="baseline"/>
          <w:lang w:val="en-US" w:eastAsia="zh-CN"/>
        </w:rPr>
        <w:t>纳入党（工）委领导干部年度述职报</w:t>
      </w:r>
      <w:r>
        <w:rPr>
          <w:rFonts w:hint="eastAsia" w:ascii="仿宋_GB2312" w:hAnsi="仿宋_GB2312" w:eastAsia="仿宋_GB2312" w:cs="仿宋_GB2312"/>
          <w:b w:val="0"/>
          <w:bCs w:val="0"/>
          <w:color w:val="auto"/>
          <w:sz w:val="28"/>
          <w:szCs w:val="28"/>
          <w:u w:val="none"/>
          <w:vertAlign w:val="baseline"/>
          <w:lang w:val="zh-CN" w:eastAsia="zh-CN"/>
        </w:rPr>
        <w:t>告内容。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5.</w:t>
      </w:r>
      <w:r>
        <w:rPr>
          <w:rFonts w:hint="eastAsia" w:ascii="仿宋_GB2312" w:hAnsi="仿宋_GB2312" w:eastAsia="仿宋_GB2312" w:cs="仿宋_GB2312"/>
          <w:b w:val="0"/>
          <w:bCs w:val="0"/>
          <w:color w:val="auto"/>
          <w:sz w:val="28"/>
          <w:szCs w:val="28"/>
          <w:u w:val="none"/>
          <w:vertAlign w:val="baseline"/>
          <w:lang w:val="en-US" w:eastAsia="zh-CN"/>
        </w:rPr>
        <w:t>严格执行安全生产“一票否决”制度，加大生产安全事故控制等约束性指标在经济社会发展考核评价体系中的权重，将履行安全生产责任情况作为对党政领导班子和有关领导干部考核、有关人选考察的重要内容。</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w:t>
      </w:r>
      <w:r>
        <w:rPr>
          <w:rFonts w:hint="eastAsia" w:ascii="仿宋_GB2312" w:hAnsi="仿宋_GB2312" w:eastAsia="仿宋_GB2312" w:cs="仿宋_GB2312"/>
          <w:b w:val="0"/>
          <w:bCs w:val="0"/>
          <w:color w:val="auto"/>
          <w:sz w:val="28"/>
          <w:szCs w:val="28"/>
          <w:u w:val="none"/>
          <w:vertAlign w:val="baseline"/>
          <w:lang w:val="zh-CN" w:eastAsia="zh-CN"/>
        </w:rPr>
        <w:t>.严格落实《广东省党政领导干部安全生产责任制实施细则》，切实加强党委对安全生产工作的组织领导。</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zh-CN" w:eastAsia="zh-CN"/>
        </w:rPr>
        <w:t>二、严格落实地方政府安全生产责任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区、镇（街道）每季度至少召开一次常务会议、镇长（主任）办公会议专题研究安全生产工作，研究解决安全生产重大问题。区、镇（街道）政府每季度经济形势分析会议应当同步分析安全生产形势和重大风险隐患排查整治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8.把安全生产纳入区、镇（街道）政府（办事处）重点工作和政府工作报告的重要内容。把安全生产专项资金列入本级财政预算予以保障。</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9.认真落实《佛山市南海区安全生产十四五规划》《佛山市南海区消防安全“十四五”规划》《佛山市南海区防灾减灾救灾“十四五”规划》《佛山市南海区危险化学品行业安全发展规划（2021年-2025年）》各项任务</w:t>
      </w:r>
      <w:r>
        <w:rPr>
          <w:rFonts w:hint="eastAsia" w:ascii="仿宋_GB2312" w:hAnsi="仿宋_GB2312" w:eastAsia="仿宋_GB2312" w:cs="仿宋_GB2312"/>
          <w:b w:val="0"/>
          <w:bCs w:val="0"/>
          <w:color w:val="auto"/>
          <w:sz w:val="28"/>
          <w:szCs w:val="28"/>
          <w:u w:val="none"/>
          <w:vertAlign w:val="baseline"/>
          <w:lang w:val="zh-CN" w:eastAsia="zh-CN"/>
        </w:rPr>
        <w:t>。</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10.区、镇（街道）政府（办事处）主要负责同志担任本级安全生产委员会主任，区政府常务副职分管安全生产工作，镇（街道）政府（办事处）由担任党委委员、排名第一的副职分管安全生产工作，推动镇（街道）应急管理办公室整合安全生产、三防、森防、地震和地质灾害救援、自然灾害救助等职责，明确镇（街道）承担消防工作的机构，确保基层应急管理体系运作顺畅、协调有力、指挥高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11.区、镇（街道）政府（办事处）主要负责同志要代表本级党委、政府，与辖区各地各有关部门签订安全生产责任书，对下级政府、村（社区）和同级安委会成员单位开展安全生产工作考核巡查。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12.参照上级做法，落实国务院安委会要求，实现安委会实体化运行，强化对安全生产的统筹协调和督促落实。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13.区、镇（街道）政府（办事处）建立安全生产“提醒函、督办函、警示函”和挂牌督办、约谈、检讨、“一票否决”等工作机制，</w:t>
      </w:r>
      <w:r>
        <w:rPr>
          <w:rFonts w:hint="eastAsia" w:ascii="仿宋_GB2312" w:hAnsi="仿宋_GB2312" w:eastAsia="仿宋_GB2312" w:cs="仿宋_GB2312"/>
          <w:b w:val="0"/>
          <w:bCs w:val="0"/>
          <w:color w:val="auto"/>
          <w:sz w:val="28"/>
          <w:szCs w:val="28"/>
          <w:u w:val="none"/>
          <w:vertAlign w:val="baseline"/>
          <w:lang w:val="zh-CN" w:eastAsia="zh-CN"/>
        </w:rPr>
        <w:t>对各级各部门安全生产工作情况进行及时督促指导。对重大安全隐患整治工作和典型生产安全事故调查由区安委办进行及时督促指导。</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14.区、镇（街道）政府（办事处）要建立安全生产重大风险隐患和突出问题交办单制度，由安委办发出任务交办单并加强跟踪督办。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15.强化</w:t>
      </w:r>
      <w:r>
        <w:rPr>
          <w:rFonts w:hint="eastAsia" w:ascii="仿宋_GB2312" w:hAnsi="仿宋_GB2312" w:eastAsia="仿宋_GB2312" w:cs="仿宋_GB2312"/>
          <w:b w:val="0"/>
          <w:bCs w:val="0"/>
          <w:color w:val="auto"/>
          <w:sz w:val="28"/>
          <w:szCs w:val="28"/>
          <w:u w:val="none"/>
          <w:vertAlign w:val="baseline"/>
          <w:lang w:val="zh-CN" w:eastAsia="zh-CN"/>
        </w:rPr>
        <w:t>《佛山市南海区安全生产风险研判会商制度》运用，对跨区域、跨部门安全生产问题及时会商，深入研判排查存在的安全生产风险隐患。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三、严格落实部门安全监管责任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16.区、镇（街道）安委会要会同机构编制部门制定印发有关单位安全生产工作职责规定文件</w:t>
      </w:r>
      <w:r>
        <w:rPr>
          <w:rFonts w:hint="eastAsia" w:ascii="仿宋_GB2312" w:hAnsi="仿宋_GB2312" w:eastAsia="仿宋_GB2312" w:cs="仿宋_GB2312"/>
          <w:b w:val="0"/>
          <w:bCs w:val="0"/>
          <w:color w:val="auto"/>
          <w:sz w:val="28"/>
          <w:szCs w:val="28"/>
          <w:u w:val="none"/>
          <w:vertAlign w:val="baseline"/>
          <w:lang w:val="zh-CN" w:eastAsia="zh-CN"/>
        </w:rPr>
        <w:t>，进一步明确“三管三必须”责任。同时，</w:t>
      </w:r>
      <w:r>
        <w:rPr>
          <w:rFonts w:hint="eastAsia" w:ascii="仿宋_GB2312" w:hAnsi="仿宋_GB2312" w:eastAsia="仿宋_GB2312" w:cs="仿宋_GB2312"/>
          <w:b w:val="0"/>
          <w:bCs w:val="0"/>
          <w:color w:val="auto"/>
          <w:sz w:val="28"/>
          <w:szCs w:val="28"/>
          <w:u w:val="none"/>
          <w:vertAlign w:val="baseline"/>
          <w:lang w:val="en-US" w:eastAsia="zh-CN"/>
        </w:rPr>
        <w:t>按照“谁主管谁牵头、谁为主谁牵头、谁靠近谁牵头”的原则，厘清新业态、新领域以及“真空地带”安全生产监管职责，及时消除监管盲区和漏洞，确保安全生产事事有人管。</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17.区、镇（街道）安委会成员单位要按照“三定规定”和部门安全生产职责，编制本部门安全生产权力清单和责任清单，利用本单位网站、微信公众号等平台向社会公开，接受社会监督。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18.区安委会成员单位</w:t>
      </w:r>
      <w:r>
        <w:rPr>
          <w:rFonts w:hint="eastAsia" w:ascii="仿宋_GB2312" w:hAnsi="仿宋_GB2312" w:eastAsia="仿宋_GB2312" w:cs="仿宋_GB2312"/>
          <w:b w:val="0"/>
          <w:bCs w:val="0"/>
          <w:color w:val="auto"/>
          <w:sz w:val="28"/>
          <w:szCs w:val="28"/>
          <w:u w:val="none"/>
          <w:vertAlign w:val="baseline"/>
          <w:lang w:val="zh-CN" w:eastAsia="zh-CN"/>
        </w:rPr>
        <w:t>全面梳理、认真评估涉安全生产审批下放事项，对基层接不住、监管跟不上的，要按照法律法规的规定及时予以收回。</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19.区、镇（街道）负有安全生产监督管理职责的部门要</w:t>
      </w:r>
      <w:r>
        <w:rPr>
          <w:rFonts w:hint="eastAsia" w:ascii="仿宋_GB2312" w:hAnsi="仿宋_GB2312" w:eastAsia="仿宋_GB2312" w:cs="仿宋_GB2312"/>
          <w:b w:val="0"/>
          <w:bCs w:val="0"/>
          <w:color w:val="auto"/>
          <w:sz w:val="28"/>
          <w:szCs w:val="28"/>
          <w:u w:val="none"/>
          <w:vertAlign w:val="baseline"/>
          <w:lang w:val="zh-CN" w:eastAsia="zh-CN"/>
        </w:rPr>
        <w:t>深入推进本行业领域安全生产专项整治，全面落实安全生产“一线三排”机制，对重大安全风险隐患实施挂牌督办，闭环消号。</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2</w:t>
      </w:r>
      <w:r>
        <w:rPr>
          <w:rFonts w:hint="eastAsia" w:ascii="仿宋_GB2312" w:hAnsi="仿宋_GB2312" w:eastAsia="仿宋_GB2312" w:cs="仿宋_GB2312"/>
          <w:b w:val="0"/>
          <w:bCs w:val="0"/>
          <w:color w:val="auto"/>
          <w:sz w:val="28"/>
          <w:szCs w:val="28"/>
          <w:u w:val="none"/>
          <w:vertAlign w:val="baseline"/>
          <w:lang w:val="en-US" w:eastAsia="zh-CN"/>
        </w:rPr>
        <w:t>0</w:t>
      </w:r>
      <w:r>
        <w:rPr>
          <w:rFonts w:hint="eastAsia" w:ascii="仿宋_GB2312" w:hAnsi="仿宋_GB2312" w:eastAsia="仿宋_GB2312" w:cs="仿宋_GB2312"/>
          <w:b w:val="0"/>
          <w:bCs w:val="0"/>
          <w:color w:val="auto"/>
          <w:sz w:val="28"/>
          <w:szCs w:val="28"/>
          <w:u w:val="none"/>
          <w:vertAlign w:val="baseline"/>
          <w:lang w:val="zh-CN" w:eastAsia="zh-CN"/>
        </w:rPr>
        <w:t>.</w:t>
      </w:r>
      <w:r>
        <w:rPr>
          <w:rFonts w:hint="eastAsia" w:ascii="仿宋_GB2312" w:hAnsi="仿宋_GB2312" w:eastAsia="仿宋_GB2312" w:cs="仿宋_GB2312"/>
          <w:b w:val="0"/>
          <w:bCs w:val="0"/>
          <w:color w:val="auto"/>
          <w:sz w:val="28"/>
          <w:szCs w:val="28"/>
          <w:u w:val="none"/>
          <w:vertAlign w:val="baseline"/>
          <w:lang w:val="en-US" w:eastAsia="zh-CN"/>
        </w:rPr>
        <w:t>区、镇（街道）</w:t>
      </w:r>
      <w:r>
        <w:rPr>
          <w:rFonts w:hint="eastAsia" w:ascii="仿宋_GB2312" w:hAnsi="仿宋_GB2312" w:eastAsia="仿宋_GB2312" w:cs="仿宋_GB2312"/>
          <w:b w:val="0"/>
          <w:bCs w:val="0"/>
          <w:color w:val="auto"/>
          <w:sz w:val="28"/>
          <w:szCs w:val="28"/>
          <w:u w:val="none"/>
          <w:vertAlign w:val="baseline"/>
          <w:lang w:val="zh-CN" w:eastAsia="zh-CN"/>
        </w:rPr>
        <w:t>安委会成员单位要充分运用信息化手段，结合现有信息化资源，加快建设本行业领域安全生产信息化系统，坚持以信息化推进安全生产治理体系和治理能力现代化。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2</w:t>
      </w:r>
      <w:r>
        <w:rPr>
          <w:rFonts w:hint="eastAsia" w:ascii="仿宋_GB2312" w:hAnsi="仿宋_GB2312" w:eastAsia="仿宋_GB2312" w:cs="仿宋_GB2312"/>
          <w:b w:val="0"/>
          <w:bCs w:val="0"/>
          <w:color w:val="auto"/>
          <w:sz w:val="28"/>
          <w:szCs w:val="28"/>
          <w:u w:val="none"/>
          <w:vertAlign w:val="baseline"/>
          <w:lang w:val="en-US" w:eastAsia="zh-CN"/>
        </w:rPr>
        <w:t>1</w:t>
      </w:r>
      <w:r>
        <w:rPr>
          <w:rFonts w:hint="eastAsia" w:ascii="仿宋_GB2312" w:hAnsi="仿宋_GB2312" w:eastAsia="仿宋_GB2312" w:cs="仿宋_GB2312"/>
          <w:b w:val="0"/>
          <w:bCs w:val="0"/>
          <w:color w:val="auto"/>
          <w:sz w:val="28"/>
          <w:szCs w:val="28"/>
          <w:u w:val="none"/>
          <w:vertAlign w:val="baseline"/>
          <w:lang w:val="zh-CN" w:eastAsia="zh-CN"/>
        </w:rPr>
        <w:t>.</w:t>
      </w:r>
      <w:r>
        <w:rPr>
          <w:rFonts w:hint="eastAsia" w:ascii="仿宋_GB2312" w:hAnsi="仿宋_GB2312" w:eastAsia="仿宋_GB2312" w:cs="仿宋_GB2312"/>
          <w:b w:val="0"/>
          <w:bCs w:val="0"/>
          <w:color w:val="auto"/>
          <w:sz w:val="28"/>
          <w:szCs w:val="28"/>
          <w:u w:val="none"/>
          <w:vertAlign w:val="baseline"/>
          <w:lang w:val="en-US" w:eastAsia="zh-CN"/>
        </w:rPr>
        <w:t>区、镇（街道）</w:t>
      </w:r>
      <w:r>
        <w:rPr>
          <w:rFonts w:hint="eastAsia" w:ascii="仿宋_GB2312" w:hAnsi="仿宋_GB2312" w:eastAsia="仿宋_GB2312" w:cs="仿宋_GB2312"/>
          <w:b w:val="0"/>
          <w:bCs w:val="0"/>
          <w:color w:val="auto"/>
          <w:sz w:val="28"/>
          <w:szCs w:val="28"/>
          <w:u w:val="none"/>
          <w:vertAlign w:val="baseline"/>
          <w:lang w:val="zh-CN" w:eastAsia="zh-CN"/>
        </w:rPr>
        <w:t>应急管理部门要理直气壮履行综合协调、督促指导职责，对基层难以解决的重要问题，及时主动“交单子”，既督促各单位落实安全生产监管责任，也提请本级党委、政府研究解决安全生产重大问题。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四、严肃追究领导责任和监管责任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22</w:t>
      </w:r>
      <w:r>
        <w:rPr>
          <w:rFonts w:hint="eastAsia" w:ascii="仿宋_GB2312" w:hAnsi="仿宋_GB2312" w:eastAsia="仿宋_GB2312" w:cs="仿宋_GB2312"/>
          <w:b w:val="0"/>
          <w:bCs w:val="0"/>
          <w:color w:val="auto"/>
          <w:sz w:val="28"/>
          <w:szCs w:val="28"/>
          <w:u w:val="none"/>
          <w:vertAlign w:val="baseline"/>
          <w:lang w:val="zh-CN" w:eastAsia="zh-CN"/>
        </w:rPr>
        <w:t>.发生一般生产安全事故的，事故调查组要及时邀请本地区纪检监察机关介入调查。事故调查组在提交上级安委办审核事故调查报告时，应当附上纪检监察机关对党员、干部和公职人员的追责问责有关情况。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23</w:t>
      </w:r>
      <w:r>
        <w:rPr>
          <w:rFonts w:hint="eastAsia" w:ascii="仿宋_GB2312" w:hAnsi="仿宋_GB2312" w:eastAsia="仿宋_GB2312" w:cs="仿宋_GB2312"/>
          <w:b w:val="0"/>
          <w:bCs w:val="0"/>
          <w:color w:val="auto"/>
          <w:sz w:val="28"/>
          <w:szCs w:val="28"/>
          <w:u w:val="none"/>
          <w:vertAlign w:val="baseline"/>
          <w:lang w:val="zh-CN" w:eastAsia="zh-CN"/>
        </w:rPr>
        <w:t>.对于上级政府、部门督办的一般生产安全事故，要核实相关人员追责问责情况后上报确定；对于上级政府、部门调查的较大及以上生产安全事故，要配合提供相关部门及人员监管职责情况。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default"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24.根据最高检制发的“八号检察建议”，区应急管理局要联合区纪委、区检察院，建立关于加大对执法监管人员失职渎职等违法违纪行为的调查追责力度方面的工作机制。区应急管理局、区检察院要建立健全信息共享、联席会议、人员交流等工作机制，进一步加强安全生产领域行政执法与法律监督工作衔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zh-CN" w:eastAsia="zh-CN"/>
        </w:rPr>
        <w:t>五、企业主要负责人必须严格履行“第一责任人”责任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2</w:t>
      </w:r>
      <w:r>
        <w:rPr>
          <w:rFonts w:hint="eastAsia" w:ascii="仿宋_GB2312" w:hAnsi="仿宋_GB2312" w:eastAsia="仿宋_GB2312" w:cs="仿宋_GB2312"/>
          <w:b w:val="0"/>
          <w:bCs w:val="0"/>
          <w:color w:val="auto"/>
          <w:sz w:val="28"/>
          <w:szCs w:val="28"/>
          <w:u w:val="none"/>
          <w:vertAlign w:val="baseline"/>
          <w:lang w:val="en-US" w:eastAsia="zh-CN"/>
        </w:rPr>
        <w:t>5</w:t>
      </w:r>
      <w:r>
        <w:rPr>
          <w:rFonts w:hint="eastAsia" w:ascii="仿宋_GB2312" w:hAnsi="仿宋_GB2312" w:eastAsia="仿宋_GB2312" w:cs="仿宋_GB2312"/>
          <w:b w:val="0"/>
          <w:bCs w:val="0"/>
          <w:color w:val="auto"/>
          <w:sz w:val="28"/>
          <w:szCs w:val="28"/>
          <w:u w:val="none"/>
          <w:vertAlign w:val="baseline"/>
          <w:lang w:val="zh-CN" w:eastAsia="zh-CN"/>
        </w:rPr>
        <w:t>.</w:t>
      </w:r>
      <w:r>
        <w:rPr>
          <w:rFonts w:hint="eastAsia" w:ascii="仿宋_GB2312" w:hAnsi="仿宋_GB2312" w:eastAsia="仿宋_GB2312" w:cs="仿宋_GB2312"/>
          <w:b w:val="0"/>
          <w:bCs w:val="0"/>
          <w:color w:val="auto"/>
          <w:sz w:val="28"/>
          <w:szCs w:val="28"/>
          <w:u w:val="none"/>
          <w:vertAlign w:val="baseline"/>
          <w:lang w:val="en-US" w:eastAsia="zh-CN"/>
        </w:rPr>
        <w:t>各中央驻南海、省属、市属、区属企业要</w:t>
      </w:r>
      <w:r>
        <w:rPr>
          <w:rFonts w:hint="eastAsia" w:ascii="仿宋_GB2312" w:hAnsi="仿宋_GB2312" w:eastAsia="仿宋_GB2312" w:cs="仿宋_GB2312"/>
          <w:b w:val="0"/>
          <w:bCs w:val="0"/>
          <w:color w:val="auto"/>
          <w:sz w:val="28"/>
          <w:szCs w:val="28"/>
          <w:u w:val="none"/>
          <w:vertAlign w:val="baseline"/>
          <w:lang w:val="zh-CN" w:eastAsia="zh-CN"/>
        </w:rPr>
        <w:t>带头落实安全生产管理责任，企业法定代表人、实际控制人、实际负责人要严格履行安全生产第一责任人责任，对本单位安全生产负总责，建立健全并落实本单位全员安全生产责任制，加强安全生产标准化建设；组织制定并实施本单位安全生产规章制度和操作规程；组织制定并实施本单位安全生产教育和培训计划；保证本单位安全生产投入的有效实施；组织建立并落实安全风险分级管控和隐患排查治理双重预防工作机制，督促、检查本单位的安全生产工作，及时消除生产安全事故隐患；组织制定并实施本单位的生产安全事故应急救援预案；及时、如实报告生产安全事故。各企业要运用“粤商通”平台全面开展企业单位消防安全线上大承诺和火灾隐患自查自改报备，落实单位消防安全主体责任，健全风险隐患“自知、自查、自改”和公示承诺制度，中小微企业要落实实名制培训，实施消防安全责任人、管理人能力提升工程。属于国家规定的高危行业领域【</w:t>
      </w:r>
      <w:r>
        <w:rPr>
          <w:rFonts w:hint="eastAsia" w:ascii="仿宋_GB2312" w:hAnsi="仿宋_GB2312" w:eastAsia="仿宋_GB2312" w:cs="仿宋_GB2312"/>
          <w:b w:val="0"/>
          <w:bCs w:val="0"/>
          <w:color w:val="auto"/>
          <w:sz w:val="28"/>
          <w:szCs w:val="28"/>
          <w:u w:val="none"/>
          <w:vertAlign w:val="baseline"/>
          <w:lang w:val="zh-CN" w:eastAsia="zh-CN"/>
        </w:rPr>
        <w:footnoteReference w:id="0"/>
      </w:r>
      <w:r>
        <w:rPr>
          <w:rFonts w:hint="eastAsia" w:ascii="仿宋_GB2312" w:hAnsi="仿宋_GB2312" w:eastAsia="仿宋_GB2312" w:cs="仿宋_GB2312"/>
          <w:b w:val="0"/>
          <w:bCs w:val="0"/>
          <w:color w:val="auto"/>
          <w:sz w:val="28"/>
          <w:szCs w:val="28"/>
          <w:u w:val="none"/>
          <w:vertAlign w:val="baseline"/>
          <w:lang w:val="zh-CN" w:eastAsia="zh-CN"/>
        </w:rPr>
        <w:t>】的生产经营单位应当依法投保安全生产责任保险，鼓励其他行业领域生产经营单位投保安全生产责任保险</w:t>
      </w:r>
      <w:r>
        <w:rPr>
          <w:rFonts w:hint="eastAsia" w:ascii="仿宋_GB2312" w:hAnsi="仿宋_GB2312" w:eastAsia="仿宋_GB2312" w:cs="仿宋_GB2312"/>
          <w:b w:val="0"/>
          <w:bCs w:val="0"/>
          <w:color w:val="auto"/>
          <w:sz w:val="28"/>
          <w:szCs w:val="28"/>
          <w:u w:val="none"/>
          <w:vertAlign w:val="baseline"/>
          <w:lang w:val="en-US" w:eastAsia="zh-CN"/>
        </w:rPr>
        <w:t>。</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26</w:t>
      </w:r>
      <w:r>
        <w:rPr>
          <w:rFonts w:hint="eastAsia" w:ascii="仿宋_GB2312" w:hAnsi="仿宋_GB2312" w:eastAsia="仿宋_GB2312" w:cs="仿宋_GB2312"/>
          <w:b w:val="0"/>
          <w:bCs w:val="0"/>
          <w:color w:val="auto"/>
          <w:sz w:val="28"/>
          <w:szCs w:val="28"/>
          <w:u w:val="none"/>
          <w:vertAlign w:val="baseline"/>
          <w:lang w:val="zh-CN" w:eastAsia="zh-CN"/>
        </w:rPr>
        <w:t>.</w:t>
      </w:r>
      <w:r>
        <w:rPr>
          <w:rFonts w:hint="eastAsia" w:ascii="仿宋_GB2312" w:hAnsi="仿宋_GB2312" w:eastAsia="仿宋_GB2312" w:cs="仿宋_GB2312"/>
          <w:b w:val="0"/>
          <w:bCs w:val="0"/>
          <w:color w:val="auto"/>
          <w:sz w:val="28"/>
          <w:szCs w:val="28"/>
          <w:u w:val="none"/>
          <w:vertAlign w:val="baseline"/>
          <w:lang w:val="en-US" w:eastAsia="zh-CN"/>
        </w:rPr>
        <w:t>对涉嫌重大责任事故罪、危险作业罪、</w:t>
      </w:r>
      <w:r>
        <w:rPr>
          <w:rFonts w:hint="eastAsia" w:ascii="仿宋_GB2312" w:hAnsi="仿宋_GB2312" w:eastAsia="仿宋_GB2312" w:cs="仿宋_GB2312"/>
          <w:b w:val="0"/>
          <w:bCs w:val="0"/>
          <w:color w:val="auto"/>
          <w:sz w:val="28"/>
          <w:szCs w:val="28"/>
          <w:u w:val="none"/>
          <w:vertAlign w:val="baseline"/>
          <w:lang w:val="en-US" w:eastAsia="zh-CN"/>
        </w:rPr>
        <w:fldChar w:fldCharType="begin"/>
      </w:r>
      <w:r>
        <w:rPr>
          <w:rFonts w:hint="eastAsia" w:ascii="仿宋_GB2312" w:hAnsi="仿宋_GB2312" w:eastAsia="仿宋_GB2312" w:cs="仿宋_GB2312"/>
          <w:b w:val="0"/>
          <w:bCs w:val="0"/>
          <w:color w:val="auto"/>
          <w:sz w:val="28"/>
          <w:szCs w:val="28"/>
          <w:u w:val="none"/>
          <w:vertAlign w:val="baseline"/>
          <w:lang w:val="en-US" w:eastAsia="zh-CN"/>
        </w:rPr>
        <w:instrText xml:space="preserve"> HYPERLINK "https://www.66law.cn/zuiming/505.aspx" \o "重大劳动安全事故罪" \t "https://www.66law.cn/tiaoli/_blank" </w:instrText>
      </w:r>
      <w:r>
        <w:rPr>
          <w:rFonts w:hint="eastAsia" w:ascii="仿宋_GB2312" w:hAnsi="仿宋_GB2312" w:eastAsia="仿宋_GB2312" w:cs="仿宋_GB2312"/>
          <w:b w:val="0"/>
          <w:bCs w:val="0"/>
          <w:color w:val="auto"/>
          <w:sz w:val="28"/>
          <w:szCs w:val="28"/>
          <w:u w:val="none"/>
          <w:vertAlign w:val="baseline"/>
          <w:lang w:val="en-US" w:eastAsia="zh-CN"/>
        </w:rPr>
        <w:fldChar w:fldCharType="separate"/>
      </w:r>
      <w:r>
        <w:rPr>
          <w:rFonts w:hint="eastAsia" w:ascii="仿宋_GB2312" w:hAnsi="仿宋_GB2312" w:eastAsia="仿宋_GB2312" w:cs="仿宋_GB2312"/>
          <w:b w:val="0"/>
          <w:bCs w:val="0"/>
          <w:color w:val="auto"/>
          <w:sz w:val="28"/>
          <w:szCs w:val="28"/>
          <w:u w:val="none"/>
          <w:vertAlign w:val="baseline"/>
          <w:lang w:val="en-US" w:eastAsia="zh-CN"/>
        </w:rPr>
        <w:t>重大劳动安全事故罪</w:t>
      </w:r>
      <w:r>
        <w:rPr>
          <w:rFonts w:hint="eastAsia" w:ascii="仿宋_GB2312" w:hAnsi="仿宋_GB2312" w:eastAsia="仿宋_GB2312" w:cs="仿宋_GB2312"/>
          <w:b w:val="0"/>
          <w:bCs w:val="0"/>
          <w:color w:val="auto"/>
          <w:sz w:val="28"/>
          <w:szCs w:val="28"/>
          <w:u w:val="none"/>
          <w:vertAlign w:val="baseline"/>
          <w:lang w:val="en-US" w:eastAsia="zh-CN"/>
        </w:rPr>
        <w:fldChar w:fldCharType="end"/>
      </w:r>
      <w:r>
        <w:rPr>
          <w:rFonts w:hint="eastAsia" w:ascii="仿宋_GB2312" w:hAnsi="仿宋_GB2312" w:eastAsia="仿宋_GB2312" w:cs="仿宋_GB2312"/>
          <w:b w:val="0"/>
          <w:bCs w:val="0"/>
          <w:color w:val="auto"/>
          <w:sz w:val="28"/>
          <w:szCs w:val="28"/>
          <w:u w:val="none"/>
          <w:vertAlign w:val="baseline"/>
          <w:lang w:val="en-US" w:eastAsia="zh-CN"/>
        </w:rPr>
        <w:t>、</w:t>
      </w:r>
      <w:r>
        <w:rPr>
          <w:rFonts w:hint="eastAsia" w:ascii="仿宋_GB2312" w:hAnsi="仿宋_GB2312" w:eastAsia="仿宋_GB2312" w:cs="仿宋_GB2312"/>
          <w:b w:val="0"/>
          <w:bCs w:val="0"/>
          <w:color w:val="auto"/>
          <w:sz w:val="28"/>
          <w:szCs w:val="28"/>
          <w:u w:val="none"/>
          <w:vertAlign w:val="baseline"/>
          <w:lang w:val="en-US" w:eastAsia="zh-CN"/>
        </w:rPr>
        <w:fldChar w:fldCharType="begin"/>
      </w:r>
      <w:r>
        <w:rPr>
          <w:rFonts w:hint="eastAsia" w:ascii="仿宋_GB2312" w:hAnsi="仿宋_GB2312" w:eastAsia="仿宋_GB2312" w:cs="仿宋_GB2312"/>
          <w:b w:val="0"/>
          <w:bCs w:val="0"/>
          <w:color w:val="auto"/>
          <w:sz w:val="28"/>
          <w:szCs w:val="28"/>
          <w:u w:val="none"/>
          <w:vertAlign w:val="baseline"/>
          <w:lang w:val="en-US" w:eastAsia="zh-CN"/>
        </w:rPr>
        <w:instrText xml:space="preserve"> HYPERLINK "https://www.66law.cn/zuiming/506.aspx" \o "危险物品肇事罪" \t "https://www.66law.cn/tiaoli/_blank" </w:instrText>
      </w:r>
      <w:r>
        <w:rPr>
          <w:rFonts w:hint="eastAsia" w:ascii="仿宋_GB2312" w:hAnsi="仿宋_GB2312" w:eastAsia="仿宋_GB2312" w:cs="仿宋_GB2312"/>
          <w:b w:val="0"/>
          <w:bCs w:val="0"/>
          <w:color w:val="auto"/>
          <w:sz w:val="28"/>
          <w:szCs w:val="28"/>
          <w:u w:val="none"/>
          <w:vertAlign w:val="baseline"/>
          <w:lang w:val="en-US" w:eastAsia="zh-CN"/>
        </w:rPr>
        <w:fldChar w:fldCharType="separate"/>
      </w:r>
      <w:r>
        <w:rPr>
          <w:rFonts w:hint="eastAsia" w:ascii="仿宋_GB2312" w:hAnsi="仿宋_GB2312" w:eastAsia="仿宋_GB2312" w:cs="仿宋_GB2312"/>
          <w:b w:val="0"/>
          <w:bCs w:val="0"/>
          <w:color w:val="auto"/>
          <w:sz w:val="28"/>
          <w:szCs w:val="28"/>
          <w:u w:val="none"/>
          <w:vertAlign w:val="baseline"/>
          <w:lang w:val="en-US" w:eastAsia="zh-CN"/>
        </w:rPr>
        <w:t>危险物品肇事罪</w:t>
      </w:r>
      <w:r>
        <w:rPr>
          <w:rFonts w:hint="eastAsia" w:ascii="仿宋_GB2312" w:hAnsi="仿宋_GB2312" w:eastAsia="仿宋_GB2312" w:cs="仿宋_GB2312"/>
          <w:b w:val="0"/>
          <w:bCs w:val="0"/>
          <w:color w:val="auto"/>
          <w:sz w:val="28"/>
          <w:szCs w:val="28"/>
          <w:u w:val="none"/>
          <w:vertAlign w:val="baseline"/>
          <w:lang w:val="en-US" w:eastAsia="zh-CN"/>
        </w:rPr>
        <w:fldChar w:fldCharType="end"/>
      </w:r>
      <w:r>
        <w:rPr>
          <w:rFonts w:hint="eastAsia" w:ascii="仿宋_GB2312" w:hAnsi="仿宋_GB2312" w:eastAsia="仿宋_GB2312" w:cs="仿宋_GB2312"/>
          <w:b w:val="0"/>
          <w:bCs w:val="0"/>
          <w:color w:val="auto"/>
          <w:sz w:val="28"/>
          <w:szCs w:val="28"/>
          <w:u w:val="none"/>
          <w:vertAlign w:val="baseline"/>
          <w:lang w:val="en-US" w:eastAsia="zh-CN"/>
        </w:rPr>
        <w:t>及</w:t>
      </w:r>
      <w:r>
        <w:rPr>
          <w:rFonts w:hint="eastAsia" w:ascii="仿宋_GB2312" w:hAnsi="仿宋_GB2312" w:eastAsia="仿宋_GB2312" w:cs="仿宋_GB2312"/>
          <w:b w:val="0"/>
          <w:bCs w:val="0"/>
          <w:color w:val="auto"/>
          <w:sz w:val="28"/>
          <w:szCs w:val="28"/>
          <w:u w:val="none"/>
          <w:vertAlign w:val="baseline"/>
          <w:lang w:val="en-US" w:eastAsia="zh-CN"/>
        </w:rPr>
        <w:fldChar w:fldCharType="begin"/>
      </w:r>
      <w:r>
        <w:rPr>
          <w:rFonts w:hint="eastAsia" w:ascii="仿宋_GB2312" w:hAnsi="仿宋_GB2312" w:eastAsia="仿宋_GB2312" w:cs="仿宋_GB2312"/>
          <w:b w:val="0"/>
          <w:bCs w:val="0"/>
          <w:color w:val="auto"/>
          <w:sz w:val="28"/>
          <w:szCs w:val="28"/>
          <w:u w:val="none"/>
          <w:vertAlign w:val="baseline"/>
          <w:lang w:val="en-US" w:eastAsia="zh-CN"/>
        </w:rPr>
        <w:instrText xml:space="preserve"> HYPERLINK "https://www.66law.cn/zuiming/510.aspx" \o "不报、谎报安全事故罪" \t "https://www.66law.cn/tiaoli/_blank" </w:instrText>
      </w:r>
      <w:r>
        <w:rPr>
          <w:rFonts w:hint="eastAsia" w:ascii="仿宋_GB2312" w:hAnsi="仿宋_GB2312" w:eastAsia="仿宋_GB2312" w:cs="仿宋_GB2312"/>
          <w:b w:val="0"/>
          <w:bCs w:val="0"/>
          <w:color w:val="auto"/>
          <w:sz w:val="28"/>
          <w:szCs w:val="28"/>
          <w:u w:val="none"/>
          <w:vertAlign w:val="baseline"/>
          <w:lang w:val="en-US" w:eastAsia="zh-CN"/>
        </w:rPr>
        <w:fldChar w:fldCharType="separate"/>
      </w:r>
      <w:r>
        <w:rPr>
          <w:rFonts w:hint="eastAsia" w:ascii="仿宋_GB2312" w:hAnsi="仿宋_GB2312" w:eastAsia="仿宋_GB2312" w:cs="仿宋_GB2312"/>
          <w:b w:val="0"/>
          <w:bCs w:val="0"/>
          <w:color w:val="auto"/>
          <w:sz w:val="28"/>
          <w:szCs w:val="28"/>
          <w:u w:val="none"/>
          <w:vertAlign w:val="baseline"/>
          <w:lang w:val="en-US" w:eastAsia="zh-CN"/>
        </w:rPr>
        <w:t>不报、谎报安全事故罪</w:t>
      </w:r>
      <w:r>
        <w:rPr>
          <w:rFonts w:hint="eastAsia" w:ascii="仿宋_GB2312" w:hAnsi="仿宋_GB2312" w:eastAsia="仿宋_GB2312" w:cs="仿宋_GB2312"/>
          <w:b w:val="0"/>
          <w:bCs w:val="0"/>
          <w:color w:val="auto"/>
          <w:sz w:val="28"/>
          <w:szCs w:val="28"/>
          <w:u w:val="none"/>
          <w:vertAlign w:val="baseline"/>
          <w:lang w:val="en-US" w:eastAsia="zh-CN"/>
        </w:rPr>
        <w:fldChar w:fldCharType="end"/>
      </w:r>
      <w:r>
        <w:rPr>
          <w:rFonts w:hint="eastAsia" w:ascii="仿宋_GB2312" w:hAnsi="仿宋_GB2312" w:eastAsia="仿宋_GB2312" w:cs="仿宋_GB2312"/>
          <w:b w:val="0"/>
          <w:bCs w:val="0"/>
          <w:color w:val="auto"/>
          <w:sz w:val="28"/>
          <w:szCs w:val="28"/>
          <w:u w:val="none"/>
          <w:vertAlign w:val="baseline"/>
          <w:lang w:val="en-US" w:eastAsia="zh-CN"/>
        </w:rPr>
        <w:t>的相关人员</w:t>
      </w:r>
      <w:r>
        <w:rPr>
          <w:rFonts w:hint="eastAsia" w:ascii="仿宋_GB2312" w:hAnsi="仿宋_GB2312" w:eastAsia="仿宋_GB2312" w:cs="仿宋_GB2312"/>
          <w:b w:val="0"/>
          <w:bCs w:val="0"/>
          <w:color w:val="auto"/>
          <w:sz w:val="28"/>
          <w:szCs w:val="28"/>
          <w:u w:val="none"/>
          <w:vertAlign w:val="baseline"/>
          <w:lang w:val="zh-CN" w:eastAsia="zh-CN"/>
        </w:rPr>
        <w:t>，要依法移送司法机关追究刑事责任，同时还要依法明确五年内或终身不得担任本行业企业主要负责人等其他追责措施。</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27</w:t>
      </w:r>
      <w:r>
        <w:rPr>
          <w:rFonts w:hint="eastAsia" w:ascii="仿宋_GB2312" w:hAnsi="仿宋_GB2312" w:eastAsia="仿宋_GB2312" w:cs="仿宋_GB2312"/>
          <w:b w:val="0"/>
          <w:bCs w:val="0"/>
          <w:color w:val="auto"/>
          <w:sz w:val="28"/>
          <w:szCs w:val="28"/>
          <w:u w:val="none"/>
          <w:vertAlign w:val="baseline"/>
          <w:lang w:val="zh-CN" w:eastAsia="zh-CN"/>
        </w:rPr>
        <w:t>.对故意增加企业管理层级，层层推卸责任、设置追责“防火墙”的，依法追究企业有关责任人员的责任。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28</w:t>
      </w:r>
      <w:r>
        <w:rPr>
          <w:rFonts w:hint="eastAsia" w:ascii="仿宋_GB2312" w:hAnsi="仿宋_GB2312" w:eastAsia="仿宋_GB2312" w:cs="仿宋_GB2312"/>
          <w:b w:val="0"/>
          <w:bCs w:val="0"/>
          <w:color w:val="auto"/>
          <w:sz w:val="28"/>
          <w:szCs w:val="28"/>
          <w:u w:val="none"/>
          <w:vertAlign w:val="baseline"/>
          <w:lang w:val="zh-CN" w:eastAsia="zh-CN"/>
        </w:rPr>
        <w:t>.</w:t>
      </w:r>
      <w:r>
        <w:rPr>
          <w:rFonts w:hint="eastAsia" w:ascii="仿宋_GB2312" w:hAnsi="仿宋_GB2312" w:eastAsia="仿宋_GB2312" w:cs="仿宋_GB2312"/>
          <w:b w:val="0"/>
          <w:bCs w:val="0"/>
          <w:color w:val="auto"/>
          <w:sz w:val="28"/>
          <w:szCs w:val="28"/>
          <w:u w:val="none"/>
          <w:vertAlign w:val="baseline"/>
          <w:lang w:val="en-US" w:eastAsia="zh-CN"/>
        </w:rPr>
        <w:t>对建筑施工企业的管理人员违章指挥、强令职工冒险作业而导致发生重大伤亡事故或者造成其他严重后果的，监管执法部门要坚决依法移送司法机关追究刑事责任；对商渔船船东、船长关闭或破坏AIS等通导设备，导致船舶AIS系统未处于有效工作状态的，监管执法部门要依法从严处罚</w:t>
      </w:r>
      <w:r>
        <w:rPr>
          <w:rFonts w:hint="eastAsia" w:ascii="仿宋_GB2312" w:hAnsi="仿宋_GB2312" w:eastAsia="仿宋_GB2312" w:cs="仿宋_GB2312"/>
          <w:b w:val="0"/>
          <w:bCs w:val="0"/>
          <w:color w:val="auto"/>
          <w:sz w:val="28"/>
          <w:szCs w:val="28"/>
          <w:u w:val="none"/>
          <w:vertAlign w:val="baseline"/>
          <w:lang w:val="zh-CN" w:eastAsia="zh-CN"/>
        </w:rPr>
        <w:t>。</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default"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29.</w:t>
      </w:r>
      <w:r>
        <w:rPr>
          <w:rFonts w:hint="eastAsia" w:ascii="仿宋_GB2312" w:hAnsi="仿宋_GB2312" w:eastAsia="仿宋_GB2312" w:cs="仿宋_GB2312"/>
          <w:b w:val="0"/>
          <w:bCs w:val="0"/>
          <w:color w:val="auto"/>
          <w:sz w:val="28"/>
          <w:szCs w:val="28"/>
          <w:u w:val="none"/>
          <w:vertAlign w:val="baseline"/>
          <w:lang w:val="zh-CN" w:eastAsia="zh-CN"/>
        </w:rPr>
        <w:t>强化企业主要负责人安全生产知识和管理能力培训考核工作，引导安全生产培训机构在组织企业主要负责人培训时，落实学习宣传贯彻习近平总书记关于安全生产重要论述的工作要求，确保学习教育全覆盖。</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六、扎实开展全区安全生产大检查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30</w:t>
      </w:r>
      <w:r>
        <w:rPr>
          <w:rFonts w:hint="eastAsia" w:ascii="仿宋_GB2312" w:hAnsi="仿宋_GB2312" w:eastAsia="仿宋_GB2312" w:cs="仿宋_GB2312"/>
          <w:b w:val="0"/>
          <w:bCs w:val="0"/>
          <w:color w:val="auto"/>
          <w:sz w:val="28"/>
          <w:szCs w:val="28"/>
          <w:u w:val="none"/>
          <w:vertAlign w:val="baseline"/>
          <w:lang w:val="zh-CN" w:eastAsia="zh-CN"/>
        </w:rPr>
        <w:t>.要聚焦“安全生产15条”等重点工作，危险化学品、燃气、建筑施工、道路交通、水上交通和渔船、工贸、消防等重点行业，“两重点一重大”化工装置储存设施、铝加工、粉尘涉爆、液氨制冷、有限空间、商渔船、“三合一”场所、“两客一危一重货”、危大工程等重点领域，全面、深入、彻底开展安全生产大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31</w:t>
      </w:r>
      <w:r>
        <w:rPr>
          <w:rFonts w:hint="eastAsia" w:ascii="仿宋_GB2312" w:hAnsi="仿宋_GB2312" w:eastAsia="仿宋_GB2312" w:cs="仿宋_GB2312"/>
          <w:b w:val="0"/>
          <w:bCs w:val="0"/>
          <w:color w:val="auto"/>
          <w:sz w:val="28"/>
          <w:szCs w:val="28"/>
          <w:u w:val="none"/>
          <w:vertAlign w:val="baseline"/>
          <w:lang w:val="zh-CN" w:eastAsia="zh-CN"/>
        </w:rPr>
        <w:t>.要深入排查重大风险隐患，列出清单、明确要求、压实责任、限期整改，坚决防止风险隐患演变为重特大事故。要统筹疫情防控和公共安全，防止封闭安全出口、疏散通道引发事故。对排查整治不认真，未列入清单、经查属于重大隐患的，要当作事故对待，引发事故的要从重追究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32</w:t>
      </w:r>
      <w:r>
        <w:rPr>
          <w:rFonts w:hint="eastAsia" w:ascii="仿宋_GB2312" w:hAnsi="仿宋_GB2312" w:eastAsia="仿宋_GB2312" w:cs="仿宋_GB2312"/>
          <w:b w:val="0"/>
          <w:bCs w:val="0"/>
          <w:color w:val="auto"/>
          <w:sz w:val="28"/>
          <w:szCs w:val="28"/>
          <w:u w:val="none"/>
          <w:vertAlign w:val="baseline"/>
          <w:lang w:val="zh-CN" w:eastAsia="zh-CN"/>
        </w:rPr>
        <w:t>.要深入推进安全生产专项整治三年行动，确保各项任务落地落实，确保专项整治取得实效。各镇（街道）和公安、交通运输、应急管理、市场监管、教育、住建水利、自然资源、文广旅体、气象等部门要巩固提升系统防范化解道路交通安全风险有益做法，坚持不懈、继续完善3大类24项长效机制。用好“两客一危一重货”重点车辆智能监控预警融合数据，对高风险车辆实行严格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33.按照《南海区危险化学品安全风险集中治理实施方案》，制定落实“1+N”个具体实施方案，开展5个方面33项任务攻坚。开展油气</w:t>
      </w:r>
      <w:r>
        <w:rPr>
          <w:rFonts w:hint="eastAsia" w:ascii="仿宋_GB2312" w:hAnsi="仿宋_GB2312" w:eastAsia="仿宋_GB2312" w:cs="仿宋_GB2312"/>
          <w:b w:val="0"/>
          <w:bCs w:val="0"/>
          <w:color w:val="auto"/>
          <w:sz w:val="28"/>
          <w:szCs w:val="28"/>
          <w:u w:val="none"/>
          <w:vertAlign w:val="baseline"/>
          <w:lang w:val="zh-CN" w:eastAsia="zh-CN"/>
        </w:rPr>
        <w:t>储存</w:t>
      </w:r>
      <w:r>
        <w:rPr>
          <w:rFonts w:hint="eastAsia" w:ascii="仿宋_GB2312" w:hAnsi="仿宋_GB2312" w:eastAsia="仿宋_GB2312" w:cs="仿宋_GB2312"/>
          <w:b w:val="0"/>
          <w:bCs w:val="0"/>
          <w:color w:val="auto"/>
          <w:sz w:val="28"/>
          <w:szCs w:val="28"/>
          <w:u w:val="none"/>
          <w:vertAlign w:val="baseline"/>
          <w:lang w:val="en-US" w:eastAsia="zh-CN"/>
        </w:rPr>
        <w:t>企业、老旧装置、化工园区、油气长输管道、重大危险源等专项安全风险整治。推进危险化学品企业双重预防机制数字化建设和岗位“零事故”、标准化“双创”工作，提升企业本质安全水平。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34.按照印发的《佛山市南海区2022年度工贸行业安全生产专项治理方案》，对金属冶炼、粉尘涉爆、有限空间作业、危险化学品使用、液氨制冷等开展专项治理，着力消除事故隐患，降低事故风险。新、改、扩建铝加工（深井铸造）和钢铁冶金、粉尘涉爆等项目要有报警、联锁装置，提升行业本质安全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35.全面开展城镇燃气安全排查整治。按照上级要求，对2000年前建设的燃气管道进行全方位安全评估、更新改造，督促餐饮场所全覆盖安装可燃气体报警装置。按照《南海区城镇燃气安全排查整治工作实施方案》，持续开展城镇燃气安全排查整治工作。加强燃气热水器安全整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36.全面落实《佛山市南海区自建房建筑安全隐患专项整治工作方案》，按照“谁拥有谁负责、谁使用谁负责、谁主管谁负责”的原则，坚持查漏洞、补短板，边排查、边整治，远近结合、标本兼治，依法依规有序开展自建房建筑安全隐患专项整治工作，及时消除自建房重大安全风险隐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37.全面开展消防安全大检查，深入推进消防安全专项整治三年行动，狠抓高层建筑、地下建筑、大型综合体、石化企业、养老服务机构、幼儿教育场所、托育机构、文物古建筑、标志性建筑等重点场所和人员密集场所消防安全管理，全面开展“三合一”场所、生产经营租住村（居）民自建房消防安全“扫雷”行动，深化乡村地区电气火灾综合治理和电动自行车消防领域综合治理，紧盯集中隔离点、定点医院、方舱医院等涉疫重点场所消防安全管控，坚决确保全区火灾形势稳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38.要深入实施《全区压减道路交通安全事故工作实施方案》，持续推进机非分离设施建设及改善、交通信号灯与电子警察设备建设、设施隐患治理三大项任务措施，用好“两客一危一重货”重点车辆智能监控预警融合数据，对高风险车辆实行严格管理。紧盯货车、面包车、电动车、摩托车，严厉打击“三超一疲劳”、不按规定车道行驶、越线超车等行为；加快非机动车道建设，全面加强路面管控；积极配合市轨道部门开展城市轨道安全运营和建设专项检查，督促辖区相关建设、运营单位依法履行安全生产监督管理职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39.各镇（街道）、各部门要精心组织“安全生产月”、“安全生产南粤行”、“119消防宣传月”等活动，加大安全生产违法行为曝光力度，在电视、报纸、微信、公众网站等主流媒体集中曝光一批安全生产违法行为并实行闭环管理。隐患问题曝光后5日内，属地党（工）委、政府（街道办事处）要责成相关职能部门作出回应。</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七、牢牢守住项目审批安全红线</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40.区发展改革、应急管理部门要牵头会同相关职能部门，在立项阶段对可能涉及安全生产风险的项目，对项目是否符合相应安全生产规划、条件和标准，相应安全防护措施技术上、工程上、经济上是否合理可行等进行安全风险联合评估。对达不到安全生产要求的项目，不得予以审批、核准，对完成告知性备案的项目依法予以撤销备案。</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41.区发展改革、自然资源、交通运输、住建水利、农业农村、文化旅游、应急管理等部门要严把建设项目审批关，严禁项目不符合安全生产条件就擅自开工建设，不得边审批、边设计、边施工。对地方政府违规审批、强行上马的不达标项目，造成事故的要终身追责【</w:t>
      </w:r>
      <w:r>
        <w:rPr>
          <w:rFonts w:hint="eastAsia" w:ascii="仿宋_GB2312" w:hAnsi="仿宋_GB2312" w:eastAsia="仿宋_GB2312" w:cs="仿宋_GB2312"/>
          <w:b w:val="0"/>
          <w:bCs w:val="0"/>
          <w:color w:val="auto"/>
          <w:sz w:val="28"/>
          <w:szCs w:val="28"/>
          <w:u w:val="none"/>
          <w:vertAlign w:val="baseline"/>
          <w:lang w:val="en-US" w:eastAsia="zh-CN"/>
        </w:rPr>
        <w:footnoteReference w:id="1"/>
      </w:r>
      <w:r>
        <w:rPr>
          <w:rFonts w:hint="eastAsia" w:ascii="仿宋_GB2312" w:hAnsi="仿宋_GB2312" w:eastAsia="仿宋_GB2312" w:cs="仿宋_GB2312"/>
          <w:b w:val="0"/>
          <w:bCs w:val="0"/>
          <w:color w:val="auto"/>
          <w:sz w:val="28"/>
          <w:szCs w:val="28"/>
          <w:u w:val="none"/>
          <w:vertAlign w:val="baseline"/>
          <w:lang w:val="en-US" w:eastAsia="zh-CN"/>
        </w:rPr>
        <w:t>】。</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42.深化我区工程建设项目招标投标制度改革，促进企业尤其央企、国企、区属企业安全责任落实，全面提升重大工程项目建设质量。</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43.对涉及“两重点一重大”的危险化学品建设项目，建立联合审查机制，区发展改革、自然资源、生态环境、住建水利、应急管理等部门各司其职、加强协作，合力推动项目审查落地。严格执行《佛山市危险化学品禁止、限制和控制目录（试行）》。</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八、严厉查处违法分包转包和挂靠资质行为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44.各中央驻南海、省属、市属、区属企业要发挥安全生产带头表率作用，建立针对违法分包、转包的内部管理制度，加强对下属企业安全生产的指导、监督、考核、奖惩，发现违法分包、转包行为的必须对所在企业的主要负责人作出严肃处理，并通报有关部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45.工程建设相关行业主管部门要对所有建筑工地开展全覆盖的发包、分包行为检查，重点核查建设单位是否将工程发包给不具有相应资质条件的单位或个人，是否履行法定发包程序，是否支解发包，是否违反合同约定指定分包单位或材料供应厂商，是否按照合同约定拨付给施工企业工程款、人工费用等情况；核查项目施工总承包、专业承包（分包）、劳务企业是否具有工程承揽所需资质；是否将承包的工程转包给其他单位或个人；是否以联营、合作、个人承包等形式或名义，直接或变相转包、挂靠；是否将工程违法分包给不具备资质条件的单位或个人；是否将建设工程主体结构、关键性工作进行分包（钢结构工程除外）等情况。</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46.落实《佛山市政务服务数据管理局等10部门关于深化工程建设项目招标投标制度改革促进经济高质量发展若干措施的通知》要求，在工程建设项目招标投标中抓好落实安全生产主体责任、推广安全生产责任保险、落实建筑施工安全生产“硬六条”、提高安全生产评分权重、鼓励企业绿色安全生产等工作要求。对发生较大及以上生产安全事故或存在违法分包、转包行为的涉事企业，工程建设相关行业主管部门要依法限制其在南海区范围内参与招投标活动，提请发证机关依法暂扣或吊销其建筑施工安全生产许可证，由工程建设主管部门直接约谈集团公司主要负责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47.工程建设相关行业主管部门要定期在电视台、报纸、门户网站等主流媒体曝光一批违法转包、分包和挂靠典型案例，点人、点事、点具体，曝光一批、震慑一片。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48.持续强化企业对第三方外协作业的安全管理。严格落实《安全生产法》第四十九条规定，对涉及第三方外协作业的，要查验核实第三方作业人员的特种作业证件的真伪，要对第三方作业人员进行教育培训和考核，要确保对现场作业进行监督，要对不符合安全作业条件的，一律不得允许实施作业。</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九、切实加强劳务派遣和灵活用工人员安全管理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49.各类工程建设项目必须将接受其作业指令的劳务派遣人员、灵活用工人员纳入本单位从业人员安全生产的统一管理，与本单位人员同培训、同教育、同监督。</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50.负有安全生产监督管理职责的部门要结合本行业实际情况制定劳务派遣和灵活用工人员安全管理办法，明确劳务派遣和灵活用工人员数量、年龄、专业、工作经历等方面的要求。工会要为劳务派遣人员、灵活就业人员提供法律保护及援助，为弱势群众的平等就业保驾护航。</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51.要深入排查本辖区和本行业领域各建筑工地劳务派遣和灵活用工人员情况，全面摸清劳务派遣和灵活用工人员底数，重点核查劳务工人持证上岗、安全培训及安全管理等情况，严厉查处项目部和劳务单位安全生产各搞各的、没有实行统一管理等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52.要推动建立企业安全生产培训指引清单，加强劳工派遣、灵活用工人员安全培训管理工作，加强对劳工派遣、灵活用工人员企业的安全检查工作，发动各培训机构加大对特种作业人员培训考证宣传，积极引导相关人员参加培训考证。</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 xml:space="preserve">   </w:t>
      </w:r>
      <w:r>
        <w:rPr>
          <w:rFonts w:hint="eastAsia" w:ascii="仿宋_GB2312" w:hAnsi="仿宋_GB2312" w:eastAsia="仿宋_GB2312" w:cs="仿宋_GB2312"/>
          <w:b w:val="0"/>
          <w:bCs w:val="0"/>
          <w:color w:val="auto"/>
          <w:sz w:val="28"/>
          <w:szCs w:val="28"/>
          <w:u w:val="none"/>
          <w:vertAlign w:val="baseline"/>
          <w:lang w:val="zh-CN" w:eastAsia="zh-CN"/>
        </w:rPr>
        <w:t>十、重拳出击开展“打非治违”</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53.要组织开展整治突出违法违规生产经营建设行为专项行动，建立联合执法机制，结合南海实际，严厉打击涉渔“三无”船舶非法捕捞、建筑无资质施工和层层转包、私搭乱建铁皮棚等违章建筑、利用面包车或商务车非法营运、非法违法“小化工”、中介机构出具虚假报告以及用于住宿、生产、经营的易燃可燃彩钢板建筑等典型非法违法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54.“打非治违”实行“四个一律”，即：对非法生产经营建设和经停产整顿仍未达到要求的，一律关闭取缔；对非法违法生产经营建设的有关单位和责任人，一律按规定上限予以经济处罚；对存在违法生产经营建设行为的单位，一律责令停产整顿，并严格落实监管措施；对触犯法律的有关单位和人员，一律依法严格追究法律责任。</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default"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55.要深挖严打违法行为背后的“保护伞”，对监管执法人员与不法企业“猫鼠一家”的腐败问题，发现一起、查处一起，坚决移交纪检监察机关严肃处理。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十一、坚决整治执法检查“宽松软”问题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56.区、镇（街道）执法部门要深入研究本行业领域事故规律特点、明确本行业领域重点执法事项，综合运用专家指导服务、用水用电监测等手段发现问题，对同类问题屡查屡犯、反复发生的，依法顶格处罚，解决安全检查查不出问题的顽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57.区、镇（街道）执法部门要严格执行新《安全生产法》《行政处罚法》，全面落实行政执法公示制度、执法全过程记录制度、重大执法决定法制审核制度，坚持严格规范文明执法，对执法检查中发现的各类违法行为，要盯住不放，督促企业彻底整改，严格执法闭环管理，做到有检查、有整改、有落实，防止只检查不跟踪的问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58.进一步加强安全生产行政执法与刑事司法衔接，区负有安全生产监督管理职责的部门要会同有关部门建立健全行刑衔接制度，加大事故前危险作业违法行为刑事责任追究力度。</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59.区、镇（街道）安委会成员单位要严格执行国家安全生产失信行为联合惩戒制度，对存在严重违法行为的失信主体坚决报送纳入全国安全生产失信惩戒名单，落实联合惩戒措施，防止只纳入不惩戒，起到应有的惩戒作用。</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60.区、镇（街道）负有安全生产监督管理职责的部门要</w:t>
      </w:r>
      <w:r>
        <w:rPr>
          <w:rFonts w:hint="eastAsia" w:ascii="仿宋_GB2312" w:hAnsi="仿宋_GB2312" w:eastAsia="仿宋_GB2312" w:cs="仿宋_GB2312"/>
          <w:b w:val="0"/>
          <w:bCs w:val="0"/>
          <w:color w:val="auto"/>
          <w:sz w:val="28"/>
          <w:szCs w:val="28"/>
          <w:u w:val="none"/>
          <w:vertAlign w:val="baseline"/>
          <w:lang w:val="zh-CN" w:eastAsia="zh-CN"/>
        </w:rPr>
        <w:t>制定执法计划，严格执行执法公示制度、执法全过程记录制度和重大执法决定法制审核制度，强化精准严格执法，加大重大事故隐患和安全生产违法违规行为查处力度。</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十二、加强安全监管执法队伍建设</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61.认真贯彻落实《广东省深化应急管理综合行政执法改革实施方案》，坚持安全生产执法工作只能加强、不能削弱，配齐建强区、镇（街道）两级安全生产执法队伍，聘用辅助安全生产执法的技术检查员，既不得以改革为名层层下放执法责任，也不得简单撤并安全生产执法队伍。</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62.区、镇（街道）要推进应急管理综合行政执法标准化创建。按照“机构完善、权责明晰、行为规范、保障有力”的综合执法体系标准有序推进应急管理行政执法标准化创建工作，实现全区应急管理综合行政执法队伍组织建设、队伍管理、执法行为、执法保障标准化，提高执法规范化能力水平。</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63.区、镇（街道）要加强安全生产执法人员的专业化建设，通过组织做好新入职培训、不定期复训培训、岗位轮训等，提升监管队伍专业性，对换领、新申领行政执法证的执法人员要规定完成相应的培训任务；要经常性地组织开展安全生产执法队伍岗位比武练兵，推动执法人员提高实战能力、锤炼工作作风、规范执法行为。区、镇两级应急管理部门具有安全生产相关学历、职业资格和实践经验的执法人员数量，不得低于在职执法人员的75%；要鼓励监管人员报考注册安全工程师，通过网络自学、不定期多渠道向监管人员发放培训课件等方式提升能力和专业素养；采取交叉检查或赴外地开展交流等方式，学习先进监管经验，拓展监管人员视野、提升工作能力。</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64.严格按照《应急管理综合行政执法装备配备标准（试行）》的要求，为安全生产执法队伍统一配发执法制服，配备执法车辆、移动执法终端、便携式执法笔记本电脑、执法记录仪、对讲机、激光测距仪、多功能气体检测仪、安全帽等装备，配足配齐必要的执法装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65.区、镇（街道）要按照财政事权与支出责任相适应的原则，将安全生产执法装备、服装、用车、用房、办案和信息化建设等工作经费纳入同级财政预算管理，落实执法人员工资待遇保障政策，依法为执法人员参加工伤保险、鼓励购买人身意外保险。</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66.负有安全生产监督管理职责的行政执法部门要进一步加强本单位监督检查队伍建设，根据监管实际配强监管人员、配齐监管装备设备，加大本行业领域安全生产行政执法检查力度，依法开展安全生产行政执法工作，对生产经营单位执行法律、法规、国家标准或者行业标准的情况进行监督检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十三、重赏重奖安全生产隐患举报</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67.要向社会公布政府服务便民热线12345、应急管理部门举报热线12350和负有安全生产监管职责的部门联系方式，鼓励公众通过电话、网站、来信等多种方式，对重大风险、事故隐患和违法行为进行举报。12350要接入各级应急指挥中心，确保24小时有人接听。</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68.金属冶炼、建筑施工、运输单位和危险物品的生产、经营、储存、装卸单位【</w:t>
      </w:r>
      <w:r>
        <w:rPr>
          <w:rFonts w:hint="eastAsia" w:ascii="仿宋_GB2312" w:hAnsi="仿宋_GB2312" w:eastAsia="仿宋_GB2312" w:cs="仿宋_GB2312"/>
          <w:b w:val="0"/>
          <w:bCs w:val="0"/>
          <w:color w:val="auto"/>
          <w:sz w:val="28"/>
          <w:szCs w:val="28"/>
          <w:u w:val="none"/>
          <w:vertAlign w:val="baseline"/>
          <w:lang w:val="en-US" w:eastAsia="zh-CN"/>
        </w:rPr>
        <w:footnoteReference w:id="2"/>
      </w:r>
      <w:r>
        <w:rPr>
          <w:rFonts w:hint="eastAsia" w:ascii="仿宋_GB2312" w:hAnsi="仿宋_GB2312" w:eastAsia="仿宋_GB2312" w:cs="仿宋_GB2312"/>
          <w:b w:val="0"/>
          <w:bCs w:val="0"/>
          <w:color w:val="auto"/>
          <w:sz w:val="28"/>
          <w:szCs w:val="28"/>
          <w:u w:val="none"/>
          <w:vertAlign w:val="baseline"/>
          <w:lang w:val="en-US" w:eastAsia="zh-CN"/>
        </w:rPr>
        <w:t>】应当建立“吹哨人”制度，建立健全企业内部举报奖励机制，把12345、12350及属地监管部门安全生产投诉举报电话等信息张贴在办公楼、作业面等场所的醒目位置，支持和鼓励内部员工积极举报身边的安全生产违法行为。各地要依法保护举报人合法权益，不得打击报复举报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default"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en-US" w:eastAsia="zh-CN"/>
        </w:rPr>
        <w:t>69.要建立安全生产举报首问责任制，确保举报事项件件能解决、事事有回音，并按照《广东省安全生产领域举报处理办法》等各有关规定重奖举报有功人员。</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zh-CN" w:eastAsia="zh-CN"/>
        </w:rPr>
      </w:pPr>
      <w:r>
        <w:rPr>
          <w:rFonts w:hint="eastAsia" w:ascii="仿宋_GB2312" w:hAnsi="仿宋_GB2312" w:eastAsia="仿宋_GB2312" w:cs="仿宋_GB2312"/>
          <w:b w:val="0"/>
          <w:bCs w:val="0"/>
          <w:color w:val="auto"/>
          <w:sz w:val="28"/>
          <w:szCs w:val="28"/>
          <w:u w:val="none"/>
          <w:vertAlign w:val="baseline"/>
          <w:lang w:val="zh-CN" w:eastAsia="zh-CN"/>
        </w:rPr>
        <w:t>十四、严肃查处瞒报谎报迟报漏报事故行为</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70.各级要严格执行生产安全事故直报制度，收到瞒报、谎报、迟报、漏报事故相关举报投诉的，一经核实、严肃处理。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71.对存在瞒报谎报迟报漏报事故行为的单位和个人，要依规依纪依法从严追究责任。属于党员、干部以及监察对象的，一律移交纪检监察机关严肃处理。</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72.对涉及瞒报、谎报、迟报、漏报的事故，必须由区安委会（办）挂牌督办或者提级调查。区应急部门要强化值班值守和事故报告的指引，规范事故报告流程，减少层层审批的环节，提高事故报告的效率。</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zh-CN" w:eastAsia="zh-CN"/>
        </w:rPr>
        <w:t>十五、统筹做好疫情防控和安全生产</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73.各镇（街道）、区各有关部门要高度重视交通、餐饮、旅游等受疫情影响较大的行业领域纾困问题，精准施策、定向纾困，防止企业因经营困难、安全投入不足引发事故。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74.贯彻落实《佛山市安全生产轻微违法行为不予行政处罚清单》，激发市场主体活力。各相关部门也要结合实际出台不予处罚清单，进一步优化营商环境。</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75.根据防疫工作统一部署，加强对防疫物资生产企业安全生产指导，严防生产安全事故给防疫工作带来被动；指导企业完善应急预案中的疫情防控专项预案，严防疫情导致生产安全事故。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r>
        <w:rPr>
          <w:rFonts w:hint="eastAsia" w:ascii="仿宋_GB2312" w:hAnsi="仿宋_GB2312" w:eastAsia="仿宋_GB2312" w:cs="仿宋_GB2312"/>
          <w:b w:val="0"/>
          <w:bCs w:val="0"/>
          <w:color w:val="auto"/>
          <w:sz w:val="28"/>
          <w:szCs w:val="28"/>
          <w:u w:val="none"/>
          <w:vertAlign w:val="baseline"/>
          <w:lang w:val="en-US" w:eastAsia="zh-CN"/>
        </w:rPr>
        <w:t>76.疫情下做好线上培训学习的发动工作，督促企业和从业人员进行线上全员培训学习，为企业减轻经济负担。</w:t>
      </w:r>
    </w:p>
    <w:p>
      <w:pPr>
        <w:keepNext w:val="0"/>
        <w:keepLines w:val="0"/>
        <w:pageBreakBefore w:val="0"/>
        <w:widowControl w:val="0"/>
        <w:kinsoku/>
        <w:wordWrap/>
        <w:overflowPunct/>
        <w:topLinePunct w:val="0"/>
        <w:autoSpaceDE w:val="0"/>
        <w:autoSpaceDN w:val="0"/>
        <w:bidi w:val="0"/>
        <w:adjustRightInd w:val="0"/>
        <w:snapToGrid/>
        <w:spacing w:before="0" w:beforeLines="0" w:after="0" w:afterLines="0" w:line="500" w:lineRule="exact"/>
        <w:ind w:left="0" w:leftChars="0" w:right="0" w:rightChars="0" w:firstLine="560" w:firstLineChars="200"/>
        <w:jc w:val="left"/>
        <w:textAlignment w:val="auto"/>
        <w:outlineLvl w:val="9"/>
        <w:rPr>
          <w:rFonts w:hint="eastAsia" w:ascii="仿宋_GB2312" w:hAnsi="仿宋_GB2312" w:eastAsia="仿宋_GB2312" w:cs="仿宋_GB2312"/>
          <w:b w:val="0"/>
          <w:bCs w:val="0"/>
          <w:color w:val="auto"/>
          <w:sz w:val="28"/>
          <w:szCs w:val="28"/>
          <w:u w:val="none"/>
          <w:vertAlign w:val="baseline"/>
          <w:lang w:val="en-US" w:eastAsia="zh-CN"/>
        </w:rPr>
      </w:pPr>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libri Light">
    <w:panose1 w:val="020F0302020204030204"/>
    <w:charset w:val="00"/>
    <w:family w:val="auto"/>
    <w:pitch w:val="default"/>
    <w:sig w:usb0="A00002EF" w:usb1="4000207B" w:usb2="00000000"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11"/>
        <w:snapToGrid w:val="0"/>
        <w:rPr>
          <w:rFonts w:hint="eastAsia" w:eastAsia="宋体"/>
          <w:sz w:val="21"/>
          <w:szCs w:val="21"/>
          <w:lang w:eastAsia="zh-CN"/>
        </w:rPr>
      </w:pPr>
      <w:r>
        <w:rPr>
          <w:rStyle w:val="16"/>
          <w:sz w:val="21"/>
          <w:szCs w:val="21"/>
        </w:rPr>
        <w:footnoteRef/>
      </w:r>
      <w:r>
        <w:rPr>
          <w:sz w:val="21"/>
          <w:szCs w:val="21"/>
        </w:rPr>
        <w:t xml:space="preserve"> </w:t>
      </w:r>
      <w:r>
        <w:rPr>
          <w:rFonts w:hint="eastAsia"/>
          <w:sz w:val="21"/>
          <w:szCs w:val="21"/>
          <w:lang w:val="zh-CN" w:eastAsia="zh-CN"/>
        </w:rPr>
        <w:t>国家规定的高危行业领域：</w:t>
      </w:r>
      <w:r>
        <w:rPr>
          <w:rFonts w:ascii="Arial" w:hAnsi="Arial" w:eastAsia="宋体" w:cs="Arial"/>
          <w:i w:val="0"/>
          <w:iCs w:val="0"/>
          <w:caps w:val="0"/>
          <w:color w:val="333333"/>
          <w:spacing w:val="0"/>
          <w:sz w:val="21"/>
          <w:szCs w:val="21"/>
          <w:shd w:val="clear" w:fill="FFFFFF"/>
        </w:rPr>
        <w:t>煤矿、非煤矿山、危险化学品、烟花爆竹、交通运输、建筑施工、民用爆炸物品、金属冶炼、渔业生产等</w:t>
      </w:r>
      <w:r>
        <w:rPr>
          <w:rFonts w:hint="eastAsia" w:ascii="Arial" w:hAnsi="Arial" w:eastAsia="宋体" w:cs="Arial"/>
          <w:i w:val="0"/>
          <w:iCs w:val="0"/>
          <w:caps w:val="0"/>
          <w:color w:val="333333"/>
          <w:spacing w:val="0"/>
          <w:sz w:val="21"/>
          <w:szCs w:val="21"/>
          <w:shd w:val="clear" w:fill="FFFFFF"/>
          <w:lang w:eastAsia="zh-CN"/>
        </w:rPr>
        <w:t>。</w:t>
      </w:r>
    </w:p>
  </w:footnote>
  <w:footnote w:id="1">
    <w:p>
      <w:pPr>
        <w:pStyle w:val="23"/>
        <w:snapToGrid w:val="0"/>
        <w:rPr>
          <w:sz w:val="21"/>
          <w:szCs w:val="21"/>
        </w:rPr>
      </w:pPr>
      <w:r>
        <w:rPr>
          <w:rStyle w:val="24"/>
          <w:sz w:val="21"/>
          <w:szCs w:val="21"/>
        </w:rPr>
        <w:footnoteRef/>
      </w:r>
      <w:r>
        <w:rPr>
          <w:sz w:val="21"/>
          <w:szCs w:val="21"/>
        </w:rPr>
        <w:t xml:space="preserve"> </w:t>
      </w:r>
      <w:r>
        <w:rPr>
          <w:rFonts w:hint="eastAsia"/>
          <w:sz w:val="21"/>
          <w:szCs w:val="21"/>
          <w:lang w:val="en-US" w:eastAsia="zh-CN"/>
        </w:rPr>
        <w:t>国务院安委会《关于进一步强化安全生产责任落实坚决防范遏制重特大事故的若干措施》第七条规定。</w:t>
      </w:r>
    </w:p>
  </w:footnote>
  <w:footnote w:id="2">
    <w:p>
      <w:pPr>
        <w:pStyle w:val="23"/>
        <w:snapToGrid w:val="0"/>
        <w:rPr>
          <w:rFonts w:hint="eastAsia" w:eastAsia="宋体"/>
          <w:sz w:val="21"/>
          <w:szCs w:val="21"/>
          <w:lang w:eastAsia="zh-CN"/>
        </w:rPr>
      </w:pPr>
      <w:r>
        <w:rPr>
          <w:rStyle w:val="24"/>
          <w:sz w:val="21"/>
          <w:szCs w:val="21"/>
        </w:rPr>
        <w:footnoteRef/>
      </w:r>
      <w:r>
        <w:rPr>
          <w:sz w:val="21"/>
          <w:szCs w:val="21"/>
        </w:rPr>
        <w:t xml:space="preserve"> </w:t>
      </w:r>
      <w:r>
        <w:rPr>
          <w:rFonts w:hint="eastAsia"/>
          <w:sz w:val="21"/>
          <w:szCs w:val="21"/>
          <w:lang w:eastAsia="zh-CN"/>
        </w:rPr>
        <w:t>《安全生产法》第二十四条：矿山、金属冶炼、建筑施工、运输单位和危险物品的生产、经营、储存、装卸单位，应当设置安全生产管理机构或者配备专职安全生产管理人员。</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A908B3"/>
    <w:rsid w:val="15DF76B4"/>
    <w:rsid w:val="214B13AE"/>
    <w:rsid w:val="36A908B3"/>
    <w:rsid w:val="45A230B0"/>
    <w:rsid w:val="6F3673AC"/>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5">
    <w:name w:val="Default Paragraph Font"/>
    <w:semiHidden/>
    <w:qFormat/>
    <w:uiPriority w:val="0"/>
  </w:style>
  <w:style w:type="table" w:default="1" w:styleId="17">
    <w:name w:val="Normal Table"/>
    <w:semiHidden/>
    <w:qFormat/>
    <w:uiPriority w:val="0"/>
    <w:tblPr>
      <w:tblLayout w:type="fixed"/>
      <w:tblCellMar>
        <w:top w:w="0" w:type="dxa"/>
        <w:left w:w="108" w:type="dxa"/>
        <w:bottom w:w="0" w:type="dxa"/>
        <w:right w:w="108" w:type="dxa"/>
      </w:tblCellMar>
    </w:tblPr>
  </w:style>
  <w:style w:type="paragraph" w:styleId="2">
    <w:name w:val="Plain Text"/>
    <w:basedOn w:val="1"/>
    <w:qFormat/>
    <w:uiPriority w:val="0"/>
    <w:rPr>
      <w:rFonts w:ascii="宋体" w:hAnsi="Courier New" w:eastAsia="宋体" w:cs="Courier New"/>
    </w:rPr>
  </w:style>
  <w:style w:type="paragraph" w:styleId="3">
    <w:name w:val="toc 7"/>
    <w:basedOn w:val="1"/>
    <w:next w:val="1"/>
    <w:uiPriority w:val="0"/>
    <w:pPr>
      <w:ind w:left="2520" w:leftChars="1200"/>
    </w:pPr>
  </w:style>
  <w:style w:type="paragraph" w:styleId="4">
    <w:name w:val="toc 5"/>
    <w:basedOn w:val="1"/>
    <w:next w:val="1"/>
    <w:uiPriority w:val="0"/>
    <w:pPr>
      <w:ind w:left="1680" w:leftChars="800"/>
    </w:pPr>
  </w:style>
  <w:style w:type="paragraph" w:styleId="5">
    <w:name w:val="toc 3"/>
    <w:basedOn w:val="1"/>
    <w:next w:val="1"/>
    <w:uiPriority w:val="0"/>
    <w:pPr>
      <w:ind w:left="840" w:leftChars="400"/>
    </w:pPr>
  </w:style>
  <w:style w:type="paragraph" w:styleId="6">
    <w:name w:val="toc 8"/>
    <w:basedOn w:val="1"/>
    <w:next w:val="1"/>
    <w:uiPriority w:val="0"/>
    <w:pPr>
      <w:ind w:left="2940" w:leftChars="14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uiPriority w:val="0"/>
  </w:style>
  <w:style w:type="paragraph" w:styleId="10">
    <w:name w:val="toc 4"/>
    <w:basedOn w:val="1"/>
    <w:next w:val="1"/>
    <w:uiPriority w:val="0"/>
    <w:pPr>
      <w:ind w:left="1260" w:leftChars="600"/>
    </w:pPr>
  </w:style>
  <w:style w:type="paragraph" w:styleId="11">
    <w:name w:val="footnote text"/>
    <w:basedOn w:val="1"/>
    <w:qFormat/>
    <w:uiPriority w:val="0"/>
    <w:pPr>
      <w:snapToGrid w:val="0"/>
      <w:jc w:val="left"/>
    </w:pPr>
    <w:rPr>
      <w:sz w:val="18"/>
    </w:rPr>
  </w:style>
  <w:style w:type="paragraph" w:styleId="12">
    <w:name w:val="toc 6"/>
    <w:basedOn w:val="1"/>
    <w:next w:val="1"/>
    <w:uiPriority w:val="0"/>
    <w:pPr>
      <w:ind w:left="2100" w:leftChars="1000"/>
    </w:pPr>
  </w:style>
  <w:style w:type="paragraph" w:styleId="13">
    <w:name w:val="toc 2"/>
    <w:basedOn w:val="1"/>
    <w:next w:val="1"/>
    <w:qFormat/>
    <w:uiPriority w:val="0"/>
    <w:pPr>
      <w:ind w:left="420" w:leftChars="200"/>
    </w:pPr>
  </w:style>
  <w:style w:type="paragraph" w:styleId="14">
    <w:name w:val="toc 9"/>
    <w:basedOn w:val="1"/>
    <w:next w:val="1"/>
    <w:uiPriority w:val="0"/>
    <w:pPr>
      <w:ind w:left="3360" w:leftChars="1600"/>
    </w:pPr>
  </w:style>
  <w:style w:type="character" w:styleId="16">
    <w:name w:val="footnote reference"/>
    <w:basedOn w:val="15"/>
    <w:qFormat/>
    <w:uiPriority w:val="0"/>
    <w:rPr>
      <w:vertAlign w:val="superscript"/>
    </w:rPr>
  </w:style>
  <w:style w:type="paragraph" w:customStyle="1" w:styleId="18">
    <w:name w:val="正文 New"/>
    <w:next w:val="19"/>
    <w:qFormat/>
    <w:uiPriority w:val="0"/>
    <w:pPr>
      <w:widowControl w:val="0"/>
      <w:jc w:val="both"/>
    </w:pPr>
    <w:rPr>
      <w:rFonts w:ascii="Calibri" w:hAnsi="Calibri" w:eastAsia="宋体" w:cs="Times New Roman"/>
      <w:kern w:val="2"/>
      <w:sz w:val="21"/>
      <w:szCs w:val="22"/>
      <w:lang w:val="en-US" w:eastAsia="zh-CN" w:bidi="ar-SA"/>
    </w:rPr>
  </w:style>
  <w:style w:type="paragraph" w:customStyle="1" w:styleId="19">
    <w:name w:val="Plain Text1"/>
    <w:basedOn w:val="18"/>
    <w:qFormat/>
    <w:uiPriority w:val="0"/>
    <w:pPr>
      <w:widowControl w:val="0"/>
      <w:jc w:val="both"/>
    </w:pPr>
    <w:rPr>
      <w:rFonts w:ascii="宋体" w:hAnsi="Courier New" w:eastAsia="宋体" w:cs="Times New Roman"/>
      <w:kern w:val="2"/>
      <w:sz w:val="21"/>
      <w:szCs w:val="21"/>
      <w:lang w:val="en-US" w:eastAsia="zh-CN" w:bidi="ar-SA"/>
    </w:rPr>
  </w:style>
  <w:style w:type="paragraph" w:customStyle="1" w:styleId="20">
    <w:name w:val="正文文本 New"/>
    <w:basedOn w:val="21"/>
    <w:next w:val="21"/>
    <w:qFormat/>
    <w:uiPriority w:val="0"/>
    <w:pPr>
      <w:jc w:val="center"/>
    </w:pPr>
    <w:rPr>
      <w:b/>
      <w:bCs/>
      <w:sz w:val="44"/>
    </w:rPr>
  </w:style>
  <w:style w:type="paragraph" w:customStyle="1" w:styleId="21">
    <w:name w:val="正文 New New New"/>
    <w:next w:val="20"/>
    <w:qFormat/>
    <w:uiPriority w:val="0"/>
    <w:pPr>
      <w:widowControl w:val="0"/>
      <w:jc w:val="both"/>
    </w:pPr>
    <w:rPr>
      <w:rFonts w:ascii="Calibri" w:hAnsi="Calibri" w:eastAsia="宋体" w:cs="Times New Roman"/>
      <w:kern w:val="2"/>
      <w:sz w:val="21"/>
      <w:szCs w:val="22"/>
      <w:lang w:val="en-US" w:eastAsia="zh-CN" w:bidi="ar-SA"/>
    </w:rPr>
  </w:style>
  <w:style w:type="paragraph" w:customStyle="1" w:styleId="22">
    <w:name w:val="_Style 5"/>
    <w:qFormat/>
    <w:uiPriority w:val="0"/>
    <w:pPr>
      <w:widowControl w:val="0"/>
      <w:ind w:firstLine="200" w:firstLineChars="200"/>
      <w:jc w:val="both"/>
    </w:pPr>
    <w:rPr>
      <w:rFonts w:ascii="Times New Roman" w:hAnsi="Times New Roman" w:eastAsia="宋体" w:cs="Times New Roman"/>
      <w:kern w:val="2"/>
      <w:sz w:val="24"/>
      <w:szCs w:val="22"/>
      <w:lang w:val="en-US" w:eastAsia="zh-CN"/>
    </w:rPr>
  </w:style>
  <w:style w:type="paragraph" w:customStyle="1" w:styleId="23">
    <w:name w:val="脚注文本 New"/>
    <w:basedOn w:val="18"/>
    <w:qFormat/>
    <w:uiPriority w:val="0"/>
    <w:pPr>
      <w:snapToGrid w:val="0"/>
      <w:jc w:val="left"/>
    </w:pPr>
    <w:rPr>
      <w:sz w:val="18"/>
    </w:rPr>
  </w:style>
  <w:style w:type="character" w:customStyle="1" w:styleId="24">
    <w:name w:val="脚注引用 New"/>
    <w:basedOn w:val="15"/>
    <w:qFormat/>
    <w:uiPriority w:val="0"/>
    <w:rPr>
      <w:vertAlign w:val="superscript"/>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区国土城建和水务局（住建）</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2023-05-30T02:12:00Z</dcterms:created>
  <dc:creator>李伟煊</dc:creator>
  <cp:lastModifiedBy>罗婉琳</cp:lastModifiedBy>
  <dcterms:modified xsi:type="dcterms:W3CDTF">2024-06-03T08:23:44Z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