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09A7" w:rsidRPr="001009A7" w:rsidRDefault="001009A7" w:rsidP="001009A7">
      <w:pPr>
        <w:widowControl/>
        <w:shd w:val="clear" w:color="auto" w:fill="FFFFFF"/>
        <w:spacing w:line="360" w:lineRule="auto"/>
        <w:jc w:val="center"/>
        <w:outlineLvl w:val="0"/>
        <w:rPr>
          <w:rFonts w:asciiTheme="minorEastAsia" w:hAnsiTheme="minorEastAsia" w:cs="宋体"/>
          <w:b/>
          <w:color w:val="0E59A4"/>
          <w:kern w:val="36"/>
          <w:sz w:val="32"/>
          <w:szCs w:val="32"/>
        </w:rPr>
      </w:pPr>
      <w:r w:rsidRPr="001009A7">
        <w:rPr>
          <w:rFonts w:asciiTheme="minorEastAsia" w:hAnsiTheme="minorEastAsia" w:cs="宋体" w:hint="eastAsia"/>
          <w:b/>
          <w:color w:val="0E59A4"/>
          <w:kern w:val="36"/>
          <w:sz w:val="32"/>
          <w:szCs w:val="32"/>
        </w:rPr>
        <w:t>佛山市南海区建筑工程质量监督站关于开展2024年下半年预拌混凝土（砂浆）质量暨在建工程原材料及试件管理情况专项检查的通知</w:t>
      </w:r>
    </w:p>
    <w:p w:rsidR="001009A7" w:rsidRPr="001009A7" w:rsidRDefault="001009A7" w:rsidP="001009A7">
      <w:pPr>
        <w:pStyle w:val="a5"/>
        <w:shd w:val="clear" w:color="auto" w:fill="FFFFFF"/>
        <w:spacing w:before="304" w:beforeAutospacing="0" w:after="304" w:afterAutospacing="0" w:line="360" w:lineRule="auto"/>
        <w:jc w:val="center"/>
        <w:rPr>
          <w:rFonts w:asciiTheme="minorEastAsia" w:eastAsiaTheme="minorEastAsia" w:hAnsiTheme="minorEastAsia"/>
          <w:color w:val="333333"/>
          <w:sz w:val="28"/>
          <w:szCs w:val="28"/>
        </w:rPr>
      </w:pPr>
      <w:r w:rsidRPr="001009A7">
        <w:rPr>
          <w:rFonts w:asciiTheme="minorEastAsia" w:eastAsiaTheme="minorEastAsia" w:hAnsiTheme="minorEastAsia" w:hint="eastAsia"/>
          <w:color w:val="333333"/>
          <w:sz w:val="28"/>
          <w:szCs w:val="28"/>
        </w:rPr>
        <w:t>南建质监〔2024〕61号 </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各监督室、各相关单位：</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为持续强化房屋建筑和市政基础设施工程的混凝土（砂浆）质量监督管理，保障工程质量，加强原材料见证检测和工地试件管理，根据佛山市住房和城乡建设局关于印发《佛山市预拌混凝土和预拌砂浆管理规定》（佛建〔2022〕83号）、《佛山市住房和城乡建设局关于进一步加强预拌混凝土监管推广应用混凝土试件防伪标识的通知》、《佛山市住房和城乡建设局关于优化完善预拌混凝土质量追踪及动态管理系统信息化工作的通知》、《佛山市南海区住房城乡建设和水利局关于加强在建工地取样检测管理的通知》（南建水函〔2022〕56号）、《佛山市南海区住房城乡建设和水利局关于严格落实建筑用砂及混凝土拌合物氯离子检验工作的通知（2022年5月18日）》以及我站质量监督工作计划的安排，将组织开展2024年下半年预拌混凝土（砂浆）质量、工地原材料见证检测以及试件管理情况的专项检查。现将情况通知如下：</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一、检查依据</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lastRenderedPageBreak/>
        <w:t xml:space="preserve">　　《建设工程质量管理条例》、《广东省建设工程质量管理条例》、《预拌砂浆、混凝土及制品企业试验室管理规范》（DBJ15-104-2015）、《预拌混凝土生产质量管理技术规程》（DBJ/T 15-74-2021）、《预拌砂浆生产与应用技术管理规程》（DBJ/T15-111-2016）、《海砂混凝土应用技术规范》（JGJ206-2010）、《人工砂混凝土应用技术规程》（JGJ/T 241-2011）、《预拌混凝土用机制砂应用技术规程》（DBJ/T 15-119-2016）、《混凝土质量控制标准》（GB50164-2011）、《混凝土中氯离子含量检测技术规程》（JGJ/T322-2013）、《混凝土氯离子控制标准》（DBJ/T15-232-2021）、《混凝土结构通用规范》（GB 55008-2021）等相关法律法规和标准。</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二、检查安排</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w:t>
      </w:r>
      <w:r w:rsidRPr="001009A7">
        <w:rPr>
          <w:rStyle w:val="a6"/>
          <w:rFonts w:asciiTheme="minorEastAsia" w:eastAsiaTheme="minorEastAsia" w:hAnsiTheme="minorEastAsia" w:hint="eastAsia"/>
          <w:color w:val="333333"/>
          <w:sz w:val="28"/>
          <w:szCs w:val="28"/>
        </w:rPr>
        <w:t>（一）检查时间</w:t>
      </w:r>
      <w:r w:rsidRPr="001009A7">
        <w:rPr>
          <w:rFonts w:asciiTheme="minorEastAsia" w:eastAsiaTheme="minorEastAsia" w:hAnsiTheme="minorEastAsia" w:hint="eastAsia"/>
          <w:color w:val="333333"/>
          <w:sz w:val="28"/>
          <w:szCs w:val="28"/>
        </w:rPr>
        <w:t>：2024年8月20日至22日。</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w:t>
      </w:r>
      <w:r w:rsidRPr="001009A7">
        <w:rPr>
          <w:rStyle w:val="a6"/>
          <w:rFonts w:asciiTheme="minorEastAsia" w:eastAsiaTheme="minorEastAsia" w:hAnsiTheme="minorEastAsia" w:hint="eastAsia"/>
          <w:color w:val="333333"/>
          <w:sz w:val="28"/>
          <w:szCs w:val="28"/>
        </w:rPr>
        <w:t>（二）检查范围</w:t>
      </w:r>
      <w:r w:rsidRPr="001009A7">
        <w:rPr>
          <w:rFonts w:asciiTheme="minorEastAsia" w:eastAsiaTheme="minorEastAsia" w:hAnsiTheme="minorEastAsia" w:hint="eastAsia"/>
          <w:color w:val="333333"/>
          <w:sz w:val="28"/>
          <w:szCs w:val="28"/>
        </w:rPr>
        <w:t>：我区内取得预拌混凝土专业承包资质并取得佛山市建筑行业诚信手册的预拌混凝土生产企业;已取得广东省预拌砂浆生产企业备案凭证，并取得佛山市建筑行业诚信手册的预拌砂浆生产企业，以及正在使用预拌混凝土（砂浆）的区管在建在监工地。</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Style w:val="a6"/>
          <w:rFonts w:asciiTheme="minorEastAsia" w:eastAsiaTheme="minorEastAsia" w:hAnsiTheme="minorEastAsia" w:hint="eastAsia"/>
          <w:color w:val="333333"/>
          <w:sz w:val="28"/>
          <w:szCs w:val="28"/>
        </w:rPr>
        <w:t xml:space="preserve">　　（三）组织领导与检查组组成</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为加强领导，做好统筹工作，本次检查成立工作领导小组，工作领导小组组长由站长担任，副组长由分管站领导担任，各监督室主任为工作领导小组成员。</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三、检查方式和内容</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本次专项检查期间每天安排2个检查小组，每组3人，检查人员随机抽取生成，每天抽取2个预拌混凝土（砂浆）企业，每个检查组聘请一名专家协助检查。主要抽查企业预拌混凝土（砂浆）供货合同签订和管理情况，原材料管理及混凝土拌合物检验情况，试验室考核情况，生产用砂及海砂、人工砂的检验和使用管理情况，生产质量控制情况，混凝土验收管理情况，试件管理及质量管理记录，生产数据分析和预拌混凝土质量追踪及动态管理系统信息化管理情况等，填写《南海区预拌混凝土（砂浆）质量检查表》（详见附件1）；随机对该企业正在供应混凝土（砂浆）的一个区管工程施工现场原材料见证送检、试件管理情况、建筑用砂及混凝土氯离子检测情况进行抽查，填写《南海区建筑工程质量监督抽查表（建筑原材料、试件管理、建筑用砂及混凝土氯离子检测情况）》（详见附件2）。</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四、工作要求</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Style w:val="a6"/>
          <w:rFonts w:asciiTheme="minorEastAsia" w:eastAsiaTheme="minorEastAsia" w:hAnsiTheme="minorEastAsia" w:hint="eastAsia"/>
          <w:color w:val="333333"/>
          <w:sz w:val="28"/>
          <w:szCs w:val="28"/>
        </w:rPr>
        <w:t xml:space="preserve">　　（一）高度重视，扎实开展</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请各混凝土（砂浆）企业高度重视本次专项检查工作，按要求做好自查自纠，发现问题及时整改。监督检查人员要认真对照相关标准规范和文件要求 ，结合施工现场日常监督抽查中发现的相关质量问题对混凝土（砂浆）质量开展针对性检查，重点检查预拌混凝土（砂浆）的原材料检验、生产质量控制重点环节配合比设计、实施情况，预拌混凝土三方交货检验制度落实情况、预拌混凝土质量追踪及动态管理系统录入状况；工地原材料是否按照相关文件、规范要求进行见证抽样送检，是否按佛山市最新文件要求试件制作时值入防伪标识和入录信息，试件养护情况，以及试块制作场所及养护室（箱）是否纳入视频监控范围，建筑用砂和混凝土氯离子检测情况等。对检查中发现的质量问题，应立即责令整改；对涉及产品质量，可能影响工程实体质量的较严重质量问题或隐患，应及时上报建设主管部门。</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Style w:val="a6"/>
          <w:rFonts w:asciiTheme="minorEastAsia" w:eastAsiaTheme="minorEastAsia" w:hAnsiTheme="minorEastAsia" w:hint="eastAsia"/>
          <w:color w:val="333333"/>
          <w:sz w:val="28"/>
          <w:szCs w:val="28"/>
        </w:rPr>
        <w:t xml:space="preserve">　　（二）认真总结，及时报送</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检查组应将检查表格、执法文书和检查小结当日起2个工作日内送技术室，由技术室汇总对专项检查情况进行总结通报。工程施工现场原材料、试件管理、建筑用砂及混凝土氯离子检测情况的整改回复由相应的项目监督组负责跟踪，回复整改到期后将复印件上交技术室存档，预拌混凝土（砂浆）企业的整改回复由技术室负责跟踪，并将回复整改资料存档。</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w:t>
      </w:r>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hyperlink r:id="rId6" w:tgtFrame="_blank" w:history="1">
        <w:r w:rsidRPr="001009A7">
          <w:rPr>
            <w:rStyle w:val="a7"/>
            <w:rFonts w:asciiTheme="minorEastAsia" w:eastAsiaTheme="minorEastAsia" w:hAnsiTheme="minorEastAsia" w:hint="eastAsia"/>
            <w:color w:val="333333"/>
            <w:sz w:val="28"/>
            <w:szCs w:val="28"/>
          </w:rPr>
          <w:t>附件1：南海区预拌混凝土（砂浆）质量检查表.xls</w:t>
        </w:r>
      </w:hyperlink>
    </w:p>
    <w:p w:rsid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color w:val="333333"/>
          <w:sz w:val="28"/>
          <w:szCs w:val="28"/>
        </w:rPr>
      </w:pPr>
      <w:hyperlink r:id="rId7" w:tgtFrame="_blank" w:history="1">
        <w:r w:rsidRPr="001009A7">
          <w:rPr>
            <w:rStyle w:val="a7"/>
            <w:rFonts w:asciiTheme="minorEastAsia" w:eastAsiaTheme="minorEastAsia" w:hAnsiTheme="minorEastAsia" w:hint="eastAsia"/>
            <w:color w:val="333333"/>
            <w:sz w:val="28"/>
            <w:szCs w:val="28"/>
          </w:rPr>
          <w:t>附件2：南海区建筑工程质量监督抽查表（建筑原材料、试件管理、砂及混凝土氯离子检测情况）.docx</w:t>
        </w:r>
      </w:hyperlink>
    </w:p>
    <w:p w:rsidR="001009A7" w:rsidRPr="001009A7" w:rsidRDefault="001009A7" w:rsidP="001009A7">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p>
    <w:p w:rsidR="001009A7" w:rsidRPr="001009A7" w:rsidRDefault="001009A7" w:rsidP="001009A7">
      <w:pPr>
        <w:pStyle w:val="a5"/>
        <w:shd w:val="clear" w:color="auto" w:fill="FFFFFF"/>
        <w:spacing w:before="304" w:beforeAutospacing="0" w:after="304" w:afterAutospacing="0" w:line="360" w:lineRule="auto"/>
        <w:jc w:val="right"/>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佛山市南海区建筑工程质量监督站</w:t>
      </w:r>
    </w:p>
    <w:p w:rsidR="001009A7" w:rsidRPr="001009A7" w:rsidRDefault="001009A7" w:rsidP="001009A7">
      <w:pPr>
        <w:pStyle w:val="a5"/>
        <w:shd w:val="clear" w:color="auto" w:fill="FFFFFF"/>
        <w:spacing w:before="304" w:beforeAutospacing="0" w:after="304" w:afterAutospacing="0" w:line="360" w:lineRule="auto"/>
        <w:jc w:val="right"/>
        <w:rPr>
          <w:rFonts w:asciiTheme="minorEastAsia" w:eastAsiaTheme="minorEastAsia" w:hAnsiTheme="minorEastAsia" w:hint="eastAsia"/>
          <w:color w:val="333333"/>
          <w:sz w:val="28"/>
          <w:szCs w:val="28"/>
        </w:rPr>
      </w:pPr>
      <w:r w:rsidRPr="001009A7">
        <w:rPr>
          <w:rFonts w:asciiTheme="minorEastAsia" w:eastAsiaTheme="minorEastAsia" w:hAnsiTheme="minorEastAsia" w:hint="eastAsia"/>
          <w:color w:val="333333"/>
          <w:sz w:val="28"/>
          <w:szCs w:val="28"/>
        </w:rPr>
        <w:t xml:space="preserve">　　  2024年8月15日</w:t>
      </w:r>
    </w:p>
    <w:p w:rsidR="001009A7" w:rsidRDefault="001009A7"/>
    <w:sectPr w:rsidR="001009A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3642" w:rsidRDefault="005B3642" w:rsidP="001009A7">
      <w:r>
        <w:separator/>
      </w:r>
    </w:p>
  </w:endnote>
  <w:endnote w:type="continuationSeparator" w:id="1">
    <w:p w:rsidR="005B3642" w:rsidRDefault="005B3642" w:rsidP="001009A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3642" w:rsidRDefault="005B3642" w:rsidP="001009A7">
      <w:r>
        <w:separator/>
      </w:r>
    </w:p>
  </w:footnote>
  <w:footnote w:type="continuationSeparator" w:id="1">
    <w:p w:rsidR="005B3642" w:rsidRDefault="005B3642" w:rsidP="001009A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4"/>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009A7"/>
    <w:rsid w:val="001009A7"/>
    <w:rsid w:val="005B364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009A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009A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009A7"/>
    <w:rPr>
      <w:sz w:val="18"/>
      <w:szCs w:val="18"/>
    </w:rPr>
  </w:style>
  <w:style w:type="paragraph" w:styleId="a4">
    <w:name w:val="footer"/>
    <w:basedOn w:val="a"/>
    <w:link w:val="Char0"/>
    <w:uiPriority w:val="99"/>
    <w:semiHidden/>
    <w:unhideWhenUsed/>
    <w:rsid w:val="001009A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009A7"/>
    <w:rPr>
      <w:sz w:val="18"/>
      <w:szCs w:val="18"/>
    </w:rPr>
  </w:style>
  <w:style w:type="character" w:customStyle="1" w:styleId="1Char">
    <w:name w:val="标题 1 Char"/>
    <w:basedOn w:val="a0"/>
    <w:link w:val="1"/>
    <w:uiPriority w:val="9"/>
    <w:rsid w:val="001009A7"/>
    <w:rPr>
      <w:rFonts w:ascii="宋体" w:eastAsia="宋体" w:hAnsi="宋体" w:cs="宋体"/>
      <w:b/>
      <w:bCs/>
      <w:kern w:val="36"/>
      <w:sz w:val="48"/>
      <w:szCs w:val="48"/>
    </w:rPr>
  </w:style>
  <w:style w:type="paragraph" w:styleId="a5">
    <w:name w:val="Normal (Web)"/>
    <w:basedOn w:val="a"/>
    <w:uiPriority w:val="99"/>
    <w:semiHidden/>
    <w:unhideWhenUsed/>
    <w:rsid w:val="001009A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1009A7"/>
    <w:rPr>
      <w:b/>
      <w:bCs/>
    </w:rPr>
  </w:style>
  <w:style w:type="character" w:styleId="a7">
    <w:name w:val="Hyperlink"/>
    <w:basedOn w:val="a0"/>
    <w:uiPriority w:val="99"/>
    <w:semiHidden/>
    <w:unhideWhenUsed/>
    <w:rsid w:val="001009A7"/>
    <w:rPr>
      <w:color w:val="0000FF"/>
      <w:u w:val="single"/>
    </w:rPr>
  </w:style>
</w:styles>
</file>

<file path=word/webSettings.xml><?xml version="1.0" encoding="utf-8"?>
<w:webSettings xmlns:r="http://schemas.openxmlformats.org/officeDocument/2006/relationships" xmlns:w="http://schemas.openxmlformats.org/wordprocessingml/2006/main">
  <w:divs>
    <w:div w:id="1251623881">
      <w:bodyDiv w:val="1"/>
      <w:marLeft w:val="0"/>
      <w:marRight w:val="0"/>
      <w:marTop w:val="0"/>
      <w:marBottom w:val="0"/>
      <w:divBdr>
        <w:top w:val="none" w:sz="0" w:space="0" w:color="auto"/>
        <w:left w:val="none" w:sz="0" w:space="0" w:color="auto"/>
        <w:bottom w:val="none" w:sz="0" w:space="0" w:color="auto"/>
        <w:right w:val="none" w:sz="0" w:space="0" w:color="auto"/>
      </w:divBdr>
    </w:div>
    <w:div w:id="1928491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24/424916/6070898.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24/424915/6070898.x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342</Words>
  <Characters>1956</Characters>
  <Application>Microsoft Office Word</Application>
  <DocSecurity>0</DocSecurity>
  <Lines>16</Lines>
  <Paragraphs>4</Paragraphs>
  <ScaleCrop>false</ScaleCrop>
  <Company>Regaltec</Company>
  <LinksUpToDate>false</LinksUpToDate>
  <CharactersWithSpaces>2294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2024-08-19T01:59:00Z</dcterms:created>
  <dcterms:modified xsi:type="dcterms:W3CDTF">2024-08-19T02:00:00Z</dcterms:modified>
</cp:coreProperties>
</file>