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关于鼓励业主使用住宅专项维修资金及其增值收益或者公共收益购买物业管理区域房屋</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使用安全、电梯、消防共用设施</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设备等综合保险的</w:t>
      </w:r>
      <w:r>
        <w:rPr>
          <w:rFonts w:hint="eastAsia" w:ascii="方正小标宋简体" w:hAnsi="方正小标宋简体" w:eastAsia="方正小标宋简体" w:cs="方正小标宋简体"/>
          <w:sz w:val="44"/>
          <w:szCs w:val="44"/>
          <w:lang w:eastAsia="zh-CN"/>
        </w:rPr>
        <w:t>指导意见</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各区住房城乡建设和水务局：</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为引导业主正确使用公共收益，进一步发挥住宅专项维修资金</w:t>
      </w:r>
      <w:r>
        <w:rPr>
          <w:rFonts w:hint="eastAsia" w:ascii="仿宋_GB2312" w:hAnsi="仿宋_GB2312" w:eastAsia="仿宋_GB2312" w:cs="仿宋_GB2312"/>
          <w:sz w:val="32"/>
          <w:szCs w:val="32"/>
          <w:lang w:eastAsia="zh-CN"/>
        </w:rPr>
        <w:t>及其</w:t>
      </w:r>
      <w:r>
        <w:rPr>
          <w:rFonts w:hint="eastAsia" w:ascii="仿宋_GB2312" w:hAnsi="仿宋_GB2312" w:eastAsia="仿宋_GB2312" w:cs="仿宋_GB2312"/>
          <w:sz w:val="32"/>
          <w:szCs w:val="32"/>
        </w:rPr>
        <w:t>增值收益的作用，保障物业管理区域房屋使用安全以及电梯、消防共用设施设备的正常运行，切实维护业主、住户的生命财产安全，根据《国务院办公厅关于加强电梯质量安全工作的意见》(国办发〔2018〕8号)《住建部办公厅财政部办公厅关于进一步发挥住宅专项维修资金在老旧小区和电梯更新改造中支持作用的通知》(建办房 〔2015〕52号)《住房和城乡建设部等部门关于加强和改进住宅物业管理工作的通知》(建房规〔2020〕10号)《佛山市住宅物业管理条例》第五十一条的相关规定，鼓励业主使用住宅专项维修资金及其增值收益或者公共收益购买物业管理区域房屋使用安全、电梯、消防共用设施设备的综合保险，</w:t>
      </w:r>
      <w:r>
        <w:rPr>
          <w:rFonts w:hint="eastAsia" w:ascii="仿宋_GB2312" w:hAnsi="仿宋_GB2312" w:eastAsia="仿宋_GB2312" w:cs="仿宋_GB2312"/>
          <w:sz w:val="32"/>
          <w:szCs w:val="32"/>
          <w:lang w:eastAsia="zh-CN"/>
        </w:rPr>
        <w:t>现根据我市实际，提出如下指导意见</w:t>
      </w:r>
      <w:r>
        <w:rPr>
          <w:rFonts w:hint="eastAsia" w:ascii="仿宋_GB2312" w:hAnsi="仿宋_GB2312" w:eastAsia="仿宋_GB2312" w:cs="仿宋_GB2312"/>
          <w:sz w:val="32"/>
          <w:szCs w:val="32"/>
        </w:rPr>
        <w:t>：</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28"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适用</w:t>
      </w:r>
      <w:r>
        <w:rPr>
          <w:rFonts w:hint="eastAsia" w:ascii="黑体" w:hAnsi="黑体" w:eastAsia="黑体" w:cs="黑体"/>
          <w:b w:val="0"/>
          <w:bCs w:val="0"/>
          <w:sz w:val="32"/>
          <w:szCs w:val="32"/>
          <w:lang w:eastAsia="zh-CN"/>
        </w:rPr>
        <w:t>范围</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物业管理区域内</w:t>
      </w:r>
      <w:r>
        <w:rPr>
          <w:rFonts w:hint="eastAsia" w:ascii="仿宋_GB2312" w:hAnsi="仿宋_GB2312" w:eastAsia="仿宋_GB2312" w:cs="仿宋_GB2312"/>
          <w:sz w:val="32"/>
          <w:szCs w:val="32"/>
          <w:lang w:eastAsia="zh-CN"/>
        </w:rPr>
        <w:t>涉及</w:t>
      </w:r>
      <w:r>
        <w:rPr>
          <w:rFonts w:hint="eastAsia" w:ascii="仿宋_GB2312" w:hAnsi="仿宋_GB2312" w:eastAsia="仿宋_GB2312" w:cs="仿宋_GB2312"/>
          <w:sz w:val="32"/>
          <w:szCs w:val="32"/>
        </w:rPr>
        <w:t>房屋使用安全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电梯、消防</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共用设施设备</w:t>
      </w:r>
      <w:r>
        <w:rPr>
          <w:rFonts w:hint="eastAsia" w:ascii="仿宋_GB2312" w:hAnsi="仿宋_GB2312" w:eastAsia="仿宋_GB2312" w:cs="仿宋_GB2312"/>
          <w:sz w:val="32"/>
          <w:szCs w:val="32"/>
          <w:lang w:eastAsia="zh-CN"/>
        </w:rPr>
        <w:t>均可</w:t>
      </w:r>
      <w:r>
        <w:rPr>
          <w:rFonts w:hint="eastAsia" w:ascii="仿宋_GB2312" w:hAnsi="仿宋_GB2312" w:eastAsia="仿宋_GB2312" w:cs="仿宋_GB2312"/>
          <w:sz w:val="32"/>
          <w:szCs w:val="32"/>
        </w:rPr>
        <w:t>购买综合保险。</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房屋使用安全综合保险是指</w:t>
      </w:r>
      <w:r>
        <w:rPr>
          <w:rFonts w:hint="eastAsia" w:ascii="仿宋_GB2312" w:hAnsi="仿宋_GB2312" w:eastAsia="仿宋_GB2312" w:cs="仿宋_GB2312"/>
          <w:sz w:val="32"/>
          <w:szCs w:val="32"/>
          <w:highlight w:val="none"/>
          <w:lang w:val="en-US" w:eastAsia="zh-CN"/>
        </w:rPr>
        <w:t>涵盖房屋主体结构及其附属设施倒塌事故、建筑幕墙、外墙脱落等造成房屋损失、人员临时安置费用、人员伤亡赔偿的保险产品。保险范围包括但不限于房屋损失、建筑外墙修缮费用补偿、第三者人身伤害赔偿责任和财产损失赔偿、人员临时安置费用等。</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综合保险是指涵盖电梯因意外事故、设备故障等原因造成的物质损失、人身伤害及相关责任的保险产品。保险范围包括但不限于电梯维修费用（含电梯配件修理更换费用）、第三方人身伤害赔偿责任、因电梯故障导致的困人事件而引发的法律诉讼或索赔相关的费用、因人为破坏造成损坏的赔偿责任（后可行使代位追偿）等。</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消防安全综合保险是指</w:t>
      </w:r>
      <w:r>
        <w:rPr>
          <w:rFonts w:hint="eastAsia" w:ascii="仿宋_GB2312" w:hAnsi="仿宋_GB2312" w:eastAsia="仿宋_GB2312" w:cs="仿宋_GB2312"/>
          <w:sz w:val="32"/>
          <w:szCs w:val="32"/>
          <w:highlight w:val="none"/>
          <w:lang w:val="en-US" w:eastAsia="zh-CN"/>
        </w:rPr>
        <w:t>为小区公共区域的消防设施提供风险保障的保险产品，包括但不限于消防设施损失、消防安全事故导致的第三者人伤伤害赔偿和财产损失赔偿、消防安全事故产生的施救费用等。</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28"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资金来源</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资金来源包括但不限于：</w:t>
      </w:r>
      <w:r>
        <w:rPr>
          <w:rFonts w:hint="eastAsia" w:ascii="仿宋_GB2312" w:hAnsi="仿宋_GB2312" w:eastAsia="仿宋_GB2312" w:cs="仿宋_GB2312"/>
          <w:sz w:val="32"/>
          <w:szCs w:val="32"/>
        </w:rPr>
        <w:t>业主缴存的住宅专项维修资金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业主缴存的住宅专项维修资金增值收益</w:t>
      </w:r>
      <w:r>
        <w:rPr>
          <w:rFonts w:hint="eastAsia" w:ascii="仿宋_GB2312" w:hAnsi="仿宋_GB2312" w:eastAsia="仿宋_GB2312" w:cs="仿宋_GB2312"/>
          <w:sz w:val="32"/>
          <w:szCs w:val="32"/>
          <w:lang w:eastAsia="zh-CN"/>
        </w:rPr>
        <w:t>，小区</w:t>
      </w:r>
      <w:r>
        <w:rPr>
          <w:rFonts w:hint="eastAsia" w:ascii="仿宋_GB2312" w:hAnsi="仿宋_GB2312" w:eastAsia="仿宋_GB2312" w:cs="仿宋_GB2312"/>
          <w:sz w:val="32"/>
          <w:szCs w:val="32"/>
        </w:rPr>
        <w:t>公共收益。</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w:t>
      </w:r>
      <w:r>
        <w:rPr>
          <w:rFonts w:hint="eastAsia" w:ascii="仿宋_GB2312" w:hAnsi="仿宋_GB2312" w:eastAsia="仿宋_GB2312" w:cs="仿宋_GB2312"/>
          <w:sz w:val="32"/>
          <w:szCs w:val="32"/>
          <w:lang w:eastAsia="zh-CN"/>
        </w:rPr>
        <w:t>应当</w:t>
      </w:r>
      <w:r>
        <w:rPr>
          <w:rFonts w:hint="eastAsia" w:ascii="仿宋_GB2312" w:hAnsi="仿宋_GB2312" w:eastAsia="仿宋_GB2312" w:cs="仿宋_GB2312"/>
          <w:sz w:val="32"/>
          <w:szCs w:val="32"/>
        </w:rPr>
        <w:t>从物业管理费中列支的维修养护费用及其他依法由责任单位或当事人承担的费用，不得从</w:t>
      </w:r>
      <w:r>
        <w:rPr>
          <w:rFonts w:hint="eastAsia" w:ascii="仿宋_GB2312" w:hAnsi="仿宋_GB2312" w:eastAsia="仿宋_GB2312" w:cs="仿宋_GB2312"/>
          <w:sz w:val="32"/>
          <w:szCs w:val="32"/>
          <w:lang w:eastAsia="zh-CN"/>
        </w:rPr>
        <w:t>上述资金来源中重复</w:t>
      </w:r>
      <w:r>
        <w:rPr>
          <w:rFonts w:hint="eastAsia" w:ascii="仿宋_GB2312" w:hAnsi="仿宋_GB2312" w:eastAsia="仿宋_GB2312" w:cs="仿宋_GB2312"/>
          <w:sz w:val="32"/>
          <w:szCs w:val="32"/>
        </w:rPr>
        <w:t>列支。</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28"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使用条件</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w:t>
      </w:r>
      <w:r>
        <w:rPr>
          <w:rFonts w:hint="eastAsia" w:ascii="仿宋_GB2312" w:hAnsi="仿宋_GB2312" w:eastAsia="仿宋_GB2312" w:cs="仿宋_GB2312"/>
          <w:sz w:val="32"/>
          <w:szCs w:val="32"/>
          <w:lang w:eastAsia="zh-CN"/>
        </w:rPr>
        <w:t>资金列支范围的</w:t>
      </w:r>
      <w:r>
        <w:rPr>
          <w:rFonts w:hint="eastAsia" w:ascii="仿宋_GB2312" w:hAnsi="仿宋_GB2312" w:eastAsia="仿宋_GB2312" w:cs="仿宋_GB2312"/>
          <w:sz w:val="32"/>
          <w:szCs w:val="32"/>
        </w:rPr>
        <w:t>专有部分面积占比三分之二以上的业主且人数占比三分之二以上的业主参与表决、并经参与表决专有部分面积过半数的业主且参与表决人数过半数的业主同意的，方可申请使用住宅专项维修资金及其增值收益或者公共收益购买综合保险。</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28"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申请主体</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在住宅专项维修资金划转业主大会管理前，</w:t>
      </w:r>
      <w:r>
        <w:rPr>
          <w:rFonts w:hint="eastAsia" w:ascii="仿宋_GB2312" w:hAnsi="仿宋_GB2312" w:eastAsia="仿宋_GB2312" w:cs="仿宋_GB2312"/>
          <w:sz w:val="32"/>
          <w:szCs w:val="32"/>
        </w:rPr>
        <w:t>申请使用住宅专项维修资金及其增值收益</w:t>
      </w:r>
      <w:r>
        <w:rPr>
          <w:rFonts w:hint="eastAsia" w:ascii="仿宋_GB2312" w:hAnsi="仿宋_GB2312" w:eastAsia="仿宋_GB2312" w:cs="仿宋_GB2312"/>
          <w:sz w:val="32"/>
          <w:szCs w:val="32"/>
          <w:lang w:eastAsia="zh-CN"/>
        </w:rPr>
        <w:t>的，可以由物业服务企业、业主代表或者物业管理委员会提出申请，并组织实施。</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住宅专项维修资金划转业主大会管理后，由业主委员会提出申请，并组织实施。</w:t>
      </w:r>
    </w:p>
    <w:p>
      <w:pPr>
        <w:keepNext w:val="0"/>
        <w:keepLines w:val="0"/>
        <w:pageBreakBefore w:val="0"/>
        <w:widowControl w:val="0"/>
        <w:kinsoku/>
        <w:wordWrap/>
        <w:overflowPunct/>
        <w:topLinePunct w:val="0"/>
        <w:autoSpaceDE/>
        <w:autoSpaceDN/>
        <w:bidi w:val="0"/>
        <w:adjustRightInd/>
        <w:snapToGrid/>
        <w:spacing w:line="560" w:lineRule="exact"/>
        <w:ind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使用公共收益的，由业主委员会、物业管理委员会、街道办事处、镇人民政府组织业主依法共同决定，并组织实施。</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28"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申请程序</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制定使用方案。组织实施单位应当</w:t>
      </w:r>
      <w:r>
        <w:rPr>
          <w:rFonts w:hint="eastAsia" w:ascii="仿宋_GB2312" w:hAnsi="仿宋_GB2312" w:eastAsia="仿宋_GB2312" w:cs="仿宋_GB2312"/>
          <w:sz w:val="32"/>
          <w:szCs w:val="32"/>
          <w:lang w:eastAsia="zh-CN"/>
        </w:rPr>
        <w:t>组织召开业主大会，并</w:t>
      </w:r>
      <w:r>
        <w:rPr>
          <w:rFonts w:hint="eastAsia" w:ascii="仿宋_GB2312" w:hAnsi="仿宋_GB2312" w:eastAsia="仿宋_GB2312" w:cs="仿宋_GB2312"/>
          <w:sz w:val="32"/>
          <w:szCs w:val="32"/>
        </w:rPr>
        <w:t>于投票表决开始15日前，在物业服务区域内显著位置张贴</w:t>
      </w:r>
      <w:r>
        <w:rPr>
          <w:rFonts w:hint="eastAsia" w:ascii="仿宋_GB2312" w:hAnsi="仿宋_GB2312" w:eastAsia="仿宋_GB2312" w:cs="仿宋_GB2312"/>
          <w:sz w:val="32"/>
          <w:szCs w:val="32"/>
          <w:lang w:eastAsia="zh-CN"/>
        </w:rPr>
        <w:t>公告</w:t>
      </w:r>
      <w:r>
        <w:rPr>
          <w:rFonts w:hint="eastAsia" w:ascii="仿宋_GB2312" w:hAnsi="仿宋_GB2312" w:eastAsia="仿宋_GB2312" w:cs="仿宋_GB2312"/>
          <w:sz w:val="32"/>
          <w:szCs w:val="32"/>
        </w:rPr>
        <w:t>、市住房城乡建设局开发的“智慧房产”系统</w:t>
      </w:r>
      <w:r>
        <w:rPr>
          <w:rFonts w:hint="eastAsia" w:ascii="仿宋_GB2312" w:hAnsi="仿宋_GB2312" w:eastAsia="仿宋_GB2312" w:cs="仿宋_GB2312"/>
          <w:sz w:val="32"/>
          <w:szCs w:val="32"/>
          <w:lang w:eastAsia="zh-CN"/>
        </w:rPr>
        <w:t>发布公告</w:t>
      </w: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eastAsia="zh-CN"/>
        </w:rPr>
        <w:t>住宅专项</w:t>
      </w:r>
      <w:r>
        <w:rPr>
          <w:rFonts w:hint="eastAsia" w:ascii="仿宋_GB2312" w:hAnsi="仿宋_GB2312" w:eastAsia="仿宋_GB2312" w:cs="仿宋_GB2312"/>
          <w:sz w:val="32"/>
          <w:szCs w:val="32"/>
        </w:rPr>
        <w:t>维修资金</w:t>
      </w:r>
      <w:r>
        <w:rPr>
          <w:rFonts w:hint="eastAsia" w:ascii="仿宋_GB2312" w:hAnsi="仿宋_GB2312" w:eastAsia="仿宋_GB2312" w:cs="仿宋_GB2312"/>
          <w:sz w:val="32"/>
          <w:szCs w:val="32"/>
          <w:lang w:eastAsia="zh-CN"/>
        </w:rPr>
        <w:t>或者公共收益</w:t>
      </w:r>
      <w:r>
        <w:rPr>
          <w:rFonts w:hint="eastAsia" w:ascii="仿宋_GB2312" w:hAnsi="仿宋_GB2312" w:eastAsia="仿宋_GB2312" w:cs="仿宋_GB2312"/>
          <w:sz w:val="32"/>
          <w:szCs w:val="32"/>
        </w:rPr>
        <w:t>列支范围内的业主</w:t>
      </w:r>
      <w:r>
        <w:rPr>
          <w:rFonts w:hint="eastAsia" w:ascii="仿宋_GB2312" w:hAnsi="仿宋_GB2312" w:eastAsia="仿宋_GB2312" w:cs="仿宋_GB2312"/>
          <w:sz w:val="32"/>
          <w:szCs w:val="32"/>
          <w:lang w:eastAsia="zh-CN"/>
        </w:rPr>
        <w:t>公告</w:t>
      </w:r>
      <w:r>
        <w:rPr>
          <w:rFonts w:hint="eastAsia" w:ascii="仿宋_GB2312" w:hAnsi="仿宋_GB2312" w:eastAsia="仿宋_GB2312" w:cs="仿宋_GB2312"/>
          <w:sz w:val="32"/>
          <w:szCs w:val="32"/>
        </w:rPr>
        <w:t>使用方案、保险机构、投保险种、投保金额、拨</w:t>
      </w:r>
      <w:r>
        <w:rPr>
          <w:rFonts w:hint="eastAsia" w:ascii="仿宋_GB2312" w:hAnsi="仿宋_GB2312" w:eastAsia="仿宋_GB2312" w:cs="仿宋_GB2312"/>
          <w:sz w:val="32"/>
          <w:szCs w:val="32"/>
          <w:lang w:eastAsia="zh-CN"/>
        </w:rPr>
        <w:t>（支）</w:t>
      </w:r>
      <w:r>
        <w:rPr>
          <w:rFonts w:hint="eastAsia" w:ascii="仿宋_GB2312" w:hAnsi="仿宋_GB2312" w:eastAsia="仿宋_GB2312" w:cs="仿宋_GB2312"/>
          <w:sz w:val="32"/>
          <w:szCs w:val="32"/>
        </w:rPr>
        <w:t>付方式、表决时间、表决形式、签订合同的主体（有业主委员会的可不需要此项）等信息，公告期截止至业主大会召开当日。</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表决使用方案。业主大会依法依规表决</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公示</w:t>
      </w:r>
      <w:r>
        <w:rPr>
          <w:rFonts w:hint="eastAsia" w:ascii="仿宋_GB2312" w:hAnsi="仿宋_GB2312" w:eastAsia="仿宋_GB2312" w:cs="仿宋_GB2312"/>
          <w:sz w:val="32"/>
          <w:szCs w:val="32"/>
          <w:lang w:eastAsia="zh-CN"/>
        </w:rPr>
        <w:t>表决结果</w:t>
      </w:r>
      <w:r>
        <w:rPr>
          <w:rFonts w:hint="eastAsia" w:ascii="仿宋_GB2312" w:hAnsi="仿宋_GB2312" w:eastAsia="仿宋_GB2312" w:cs="仿宋_GB2312"/>
          <w:sz w:val="32"/>
          <w:szCs w:val="32"/>
        </w:rPr>
        <w:t>。</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签订保险合同。</w:t>
      </w:r>
      <w:r>
        <w:rPr>
          <w:rFonts w:hint="eastAsia" w:ascii="仿宋_GB2312" w:hAnsi="仿宋_GB2312" w:eastAsia="仿宋_GB2312" w:cs="仿宋_GB2312"/>
          <w:sz w:val="32"/>
          <w:szCs w:val="32"/>
          <w:lang w:eastAsia="zh-CN"/>
        </w:rPr>
        <w:t>业主大会会议通过了表决事项后</w:t>
      </w:r>
      <w:r>
        <w:rPr>
          <w:rFonts w:hint="eastAsia" w:ascii="仿宋_GB2312" w:hAnsi="仿宋_GB2312" w:eastAsia="仿宋_GB2312" w:cs="仿宋_GB2312"/>
          <w:sz w:val="32"/>
          <w:szCs w:val="32"/>
        </w:rPr>
        <w:t>，由业主大会授权</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主体或者业主委员会</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rPr>
        <w:t>保险机构</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签订保险合同。</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支</w:t>
      </w:r>
      <w:r>
        <w:rPr>
          <w:rFonts w:hint="eastAsia" w:ascii="仿宋_GB2312" w:hAnsi="仿宋_GB2312" w:eastAsia="仿宋_GB2312" w:cs="仿宋_GB2312"/>
          <w:sz w:val="32"/>
          <w:szCs w:val="32"/>
        </w:rPr>
        <w:t>付费用</w:t>
      </w:r>
    </w:p>
    <w:p>
      <w:pPr>
        <w:keepNext w:val="0"/>
        <w:keepLines w:val="0"/>
        <w:pageBreakBefore w:val="0"/>
        <w:widowControl w:val="0"/>
        <w:kinsoku/>
        <w:wordWrap/>
        <w:overflowPunct/>
        <w:topLinePunct w:val="0"/>
        <w:autoSpaceDE/>
        <w:autoSpaceDN/>
        <w:bidi w:val="0"/>
        <w:adjustRightInd/>
        <w:snapToGrid/>
        <w:spacing w:line="560" w:lineRule="exact"/>
        <w:ind w:left="0" w:firstLine="628"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由</w:t>
      </w:r>
      <w:r>
        <w:rPr>
          <w:rFonts w:hint="eastAsia" w:ascii="仿宋_GB2312" w:hAnsi="仿宋_GB2312" w:eastAsia="仿宋_GB2312" w:cs="仿宋_GB2312"/>
          <w:sz w:val="32"/>
          <w:szCs w:val="32"/>
        </w:rPr>
        <w:t>申请人向</w:t>
      </w:r>
      <w:r>
        <w:rPr>
          <w:rFonts w:hint="eastAsia" w:ascii="仿宋_GB2312" w:hAnsi="仿宋_GB2312" w:eastAsia="仿宋_GB2312" w:cs="仿宋_GB2312"/>
          <w:sz w:val="32"/>
          <w:szCs w:val="32"/>
          <w:lang w:eastAsia="zh-CN"/>
        </w:rPr>
        <w:t>住宅专项维修资金</w:t>
      </w:r>
      <w:r>
        <w:rPr>
          <w:rFonts w:hint="eastAsia" w:ascii="仿宋_GB2312" w:hAnsi="仿宋_GB2312" w:eastAsia="仿宋_GB2312" w:cs="仿宋_GB2312"/>
          <w:sz w:val="32"/>
          <w:szCs w:val="32"/>
        </w:rPr>
        <w:t>及其增值收益</w:t>
      </w:r>
      <w:r>
        <w:rPr>
          <w:rFonts w:hint="eastAsia" w:ascii="仿宋_GB2312" w:hAnsi="仿宋_GB2312" w:eastAsia="仿宋_GB2312" w:cs="仿宋_GB2312"/>
          <w:sz w:val="32"/>
          <w:szCs w:val="32"/>
          <w:lang w:eastAsia="zh-CN"/>
        </w:rPr>
        <w:t>或者公共收益的管理主体</w:t>
      </w:r>
      <w:r>
        <w:rPr>
          <w:rFonts w:hint="eastAsia" w:ascii="仿宋_GB2312" w:hAnsi="仿宋_GB2312" w:eastAsia="仿宋_GB2312" w:cs="仿宋_GB2312"/>
          <w:sz w:val="32"/>
          <w:szCs w:val="32"/>
        </w:rPr>
        <w:t>提交下列资料</w:t>
      </w:r>
      <w:r>
        <w:rPr>
          <w:rFonts w:hint="eastAsia" w:ascii="仿宋_GB2312" w:hAnsi="仿宋_GB2312" w:eastAsia="仿宋_GB2312" w:cs="仿宋_GB2312"/>
          <w:sz w:val="32"/>
          <w:szCs w:val="32"/>
          <w:lang w:eastAsia="zh-CN"/>
        </w:rPr>
        <w:t>，申请</w:t>
      </w:r>
      <w:r>
        <w:rPr>
          <w:rFonts w:hint="eastAsia" w:ascii="仿宋_GB2312" w:hAnsi="仿宋_GB2312" w:eastAsia="仿宋_GB2312" w:cs="仿宋_GB2312"/>
          <w:sz w:val="32"/>
          <w:szCs w:val="32"/>
        </w:rPr>
        <w:t>拨</w:t>
      </w:r>
      <w:r>
        <w:rPr>
          <w:rFonts w:hint="eastAsia" w:ascii="仿宋_GB2312" w:hAnsi="仿宋_GB2312" w:eastAsia="仿宋_GB2312" w:cs="仿宋_GB2312"/>
          <w:sz w:val="32"/>
          <w:szCs w:val="32"/>
          <w:lang w:eastAsia="zh-CN"/>
        </w:rPr>
        <w:t>（支）</w:t>
      </w:r>
      <w:r>
        <w:rPr>
          <w:rFonts w:hint="eastAsia" w:ascii="仿宋_GB2312" w:hAnsi="仿宋_GB2312" w:eastAsia="仿宋_GB2312" w:cs="仿宋_GB2312"/>
          <w:sz w:val="32"/>
          <w:szCs w:val="32"/>
        </w:rPr>
        <w:t>付</w:t>
      </w:r>
      <w:r>
        <w:rPr>
          <w:rFonts w:hint="eastAsia" w:ascii="仿宋_GB2312" w:hAnsi="仿宋_GB2312" w:eastAsia="仿宋_GB2312" w:cs="仿宋_GB2312"/>
          <w:sz w:val="32"/>
          <w:szCs w:val="32"/>
          <w:lang w:eastAsia="zh-CN"/>
        </w:rPr>
        <w:t>费用</w:t>
      </w:r>
      <w:r>
        <w:rPr>
          <w:rFonts w:hint="eastAsia" w:ascii="仿宋_GB2312" w:hAnsi="仿宋_GB2312" w:eastAsia="仿宋_GB2312" w:cs="仿宋_GB2312"/>
          <w:sz w:val="32"/>
          <w:szCs w:val="32"/>
        </w:rPr>
        <w:t>：</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书面申请；</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使用方案及公示情况；</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业主同意使用方案的表决结果及公示情况；</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0" w:leftChars="0" w:firstLine="628"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保险合同；</w:t>
      </w:r>
    </w:p>
    <w:p>
      <w:pPr>
        <w:keepNext w:val="0"/>
        <w:keepLines w:val="0"/>
        <w:pageBreakBefore w:val="0"/>
        <w:widowControl w:val="0"/>
        <w:kinsoku/>
        <w:wordWrap/>
        <w:overflowPunct/>
        <w:topLinePunct w:val="0"/>
        <w:autoSpaceDE/>
        <w:autoSpaceDN/>
        <w:bidi w:val="0"/>
        <w:adjustRightInd/>
        <w:snapToGrid/>
        <w:spacing w:line="560" w:lineRule="exact"/>
        <w:ind w:left="0" w:firstLine="628" w:firstLineChars="200"/>
        <w:textAlignment w:val="auto"/>
        <w:rPr>
          <w:rFonts w:hint="default"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lang w:eastAsia="zh-CN"/>
        </w:rPr>
        <w:t>管理主体同意后</w:t>
      </w:r>
      <w:r>
        <w:rPr>
          <w:rFonts w:hint="eastAsia" w:ascii="仿宋_GB2312" w:hAnsi="仿宋_GB2312" w:eastAsia="仿宋_GB2312" w:cs="仿宋_GB2312"/>
          <w:sz w:val="32"/>
          <w:szCs w:val="32"/>
        </w:rPr>
        <w:t>，将</w:t>
      </w:r>
      <w:r>
        <w:rPr>
          <w:rFonts w:hint="eastAsia" w:ascii="仿宋_GB2312" w:hAnsi="仿宋_GB2312" w:eastAsia="仿宋_GB2312" w:cs="仿宋_GB2312"/>
          <w:sz w:val="32"/>
          <w:szCs w:val="32"/>
          <w:lang w:eastAsia="zh-CN"/>
        </w:rPr>
        <w:t>相关费用直接</w:t>
      </w:r>
      <w:r>
        <w:rPr>
          <w:rFonts w:hint="eastAsia" w:ascii="仿宋_GB2312" w:hAnsi="仿宋_GB2312" w:eastAsia="仿宋_GB2312" w:cs="仿宋_GB2312"/>
          <w:sz w:val="32"/>
          <w:szCs w:val="32"/>
        </w:rPr>
        <w:t>划转到相应账户。</w:t>
      </w:r>
      <w:bookmarkStart w:id="0" w:name="_GoBack"/>
      <w:bookmarkEnd w:id="0"/>
    </w:p>
    <w:sectPr>
      <w:footerReference r:id="rId3" w:type="default"/>
      <w:pgSz w:w="11906" w:h="16838"/>
      <w:pgMar w:top="2154" w:right="1474" w:bottom="1474" w:left="1474" w:header="851" w:footer="992" w:gutter="0"/>
      <w:paperSrc/>
      <w:pgNumType w:fmt="decimal"/>
      <w:cols w:space="0" w:num="1"/>
      <w:rtlGutter w:val="0"/>
      <w:docGrid w:type="linesAndChars" w:linePitch="600" w:charSpace="-131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WAAAAZHJzL1BLAQIUABQAAAAIAIdO4kAGpUrO1gAAAAYBAAAPAAAAAAAA&#10;AAEAIAAAADgAAABkcnMvZG93bnJldi54bWxQSwECFAAUAAAACACHTuJADImRDDcCAABrBAAADgAA&#10;AAAAAAABACAAAAA7AQAAZHJzL2Uyb0RvYy54bWxQSwUGAAAAAAYABgBZAQAA5AUAAAAA&#10;">
              <v:fill on="f" focussize="0,0"/>
              <v:stroke on="f" weight="0.5pt"/>
              <v:imagedata o:title=""/>
              <o:lock v:ext="edit" aspectratio="f"/>
              <v:textbox inset="16pt,0mm,16pt,0mm" style="mso-fit-shape-to-text:t;">
                <w:txbxContent>
                  <w:p>
                    <w:pPr>
                      <w:pStyle w:val="2"/>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FD74EB"/>
    <w:multiLevelType w:val="singleLevel"/>
    <w:tmpl w:val="DFFD74EB"/>
    <w:lvl w:ilvl="0" w:tentative="0">
      <w:start w:val="1"/>
      <w:numFmt w:val="chineseCounting"/>
      <w:suff w:val="nothing"/>
      <w:lvlText w:val="（%1）"/>
      <w:lvlJc w:val="left"/>
      <w:pPr>
        <w:ind w:left="0" w:firstLine="420"/>
      </w:pPr>
      <w:rPr>
        <w:rFonts w:hint="eastAsia"/>
      </w:rPr>
    </w:lvl>
  </w:abstractNum>
  <w:abstractNum w:abstractNumId="1">
    <w:nsid w:val="4F7AD04D"/>
    <w:multiLevelType w:val="singleLevel"/>
    <w:tmpl w:val="4F7AD04D"/>
    <w:lvl w:ilvl="0" w:tentative="0">
      <w:start w:val="1"/>
      <w:numFmt w:val="chineseCounting"/>
      <w:suff w:val="nothing"/>
      <w:lvlText w:val="%1、"/>
      <w:lvlJc w:val="left"/>
      <w:pPr>
        <w:ind w:left="0" w:firstLine="420"/>
      </w:pPr>
      <w:rPr>
        <w:rFonts w:hint="eastAsia" w:ascii="黑体" w:hAnsi="黑体" w:eastAsia="黑体" w:cs="黑体"/>
        <w:b w:val="0"/>
        <w:bCs w:val="0"/>
        <w:sz w:val="32"/>
        <w:szCs w:val="32"/>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hyphenationZone w:val="360"/>
  <w:drawingGridHorizontalSpacing w:val="102"/>
  <w:drawingGridVerticalSpacing w:val="300"/>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8EB6DD4"/>
    <w:rsid w:val="2FEA098E"/>
    <w:rsid w:val="3A405CFC"/>
    <w:rsid w:val="5E93495A"/>
    <w:rsid w:val="63C57764"/>
    <w:rsid w:val="7C524E9C"/>
    <w:rsid w:val="7DA61CF4"/>
    <w:rsid w:val="7FCF4A2C"/>
    <w:rsid w:val="B8EB6DD4"/>
    <w:rsid w:val="EAFE25AA"/>
    <w:rsid w:val="FBFF5950"/>
    <w:rsid w:val="FD4F4B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Office_11.8.2.12024_F1E327BC-269C-435d-A152-05C5408002CA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2024-10-31T01:35:00Z</dcterms:created>
  <dc:creator>江飞</dc:creator>
  <cp:lastModifiedBy>市住建局</cp:lastModifiedBy>
  <dcterms:modified xsi:type="dcterms:W3CDTF">2024-11-29T16:55:07Z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2052-11.8.2.12024</vt:lpwstr>
  </property>
  <property fmtid="{D5CDD505-2E9C-101B-9397-08002B2CF9AE}" pid="3" name="ICV">
    <vt:lpwstr>5D601FE8FF3C428981A78C06F94BC9BA</vt:lpwstr>
  </property>
</Properties>
</file>