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1127CC" w:rsidP="001127CC">
      <w:pPr>
        <w:jc w:val="center"/>
        <w:rPr>
          <w:rFonts w:hint="eastAsia"/>
          <w:b/>
          <w:bCs/>
          <w:color w:val="333333"/>
          <w:kern w:val="36"/>
          <w:sz w:val="32"/>
          <w:szCs w:val="32"/>
        </w:rPr>
      </w:pPr>
      <w:r>
        <w:rPr>
          <w:rFonts w:hint="eastAsia"/>
          <w:b/>
          <w:bCs/>
          <w:color w:val="333333"/>
          <w:kern w:val="36"/>
          <w:sz w:val="32"/>
          <w:szCs w:val="32"/>
        </w:rPr>
        <w:t>关于开展</w:t>
      </w:r>
      <w:r>
        <w:rPr>
          <w:rFonts w:hint="eastAsia"/>
          <w:b/>
          <w:bCs/>
          <w:color w:val="333333"/>
          <w:kern w:val="36"/>
          <w:sz w:val="32"/>
          <w:szCs w:val="32"/>
        </w:rPr>
        <w:t>2015</w:t>
      </w:r>
      <w:r>
        <w:rPr>
          <w:rFonts w:hint="eastAsia"/>
          <w:b/>
          <w:bCs/>
          <w:color w:val="333333"/>
          <w:kern w:val="36"/>
          <w:sz w:val="32"/>
          <w:szCs w:val="32"/>
        </w:rPr>
        <w:t>年“质量月”建筑工程质量检查暨“打非治违”专项检查的通知</w:t>
      </w:r>
    </w:p>
    <w:p w:rsidR="001127CC" w:rsidRDefault="001127CC">
      <w:pPr>
        <w:rPr>
          <w:rFonts w:hint="eastAsia"/>
          <w:b/>
          <w:bCs/>
          <w:color w:val="333333"/>
          <w:kern w:val="36"/>
          <w:sz w:val="32"/>
          <w:szCs w:val="32"/>
        </w:rPr>
      </w:pPr>
    </w:p>
    <w:p w:rsidR="001127CC" w:rsidRPr="001127CC" w:rsidRDefault="001127CC" w:rsidP="001127CC">
      <w:pPr>
        <w:widowControl/>
        <w:spacing w:line="375" w:lineRule="atLeast"/>
        <w:jc w:val="center"/>
        <w:rPr>
          <w:rFonts w:ascii="仿宋_GB2312" w:eastAsia="仿宋_GB2312" w:hAnsi="宋体" w:cs="宋体"/>
          <w:color w:val="000000"/>
          <w:kern w:val="0"/>
          <w:sz w:val="24"/>
          <w:szCs w:val="24"/>
        </w:rPr>
      </w:pPr>
      <w:r w:rsidRPr="001127CC">
        <w:rPr>
          <w:rFonts w:ascii="仿宋_GB2312" w:eastAsia="仿宋_GB2312" w:hAnsi="宋体" w:cs="宋体" w:hint="eastAsia"/>
          <w:color w:val="000000"/>
          <w:kern w:val="0"/>
          <w:sz w:val="24"/>
          <w:szCs w:val="24"/>
        </w:rPr>
        <w:t>南建设工〔2015〕115号</w:t>
      </w:r>
    </w:p>
    <w:p w:rsidR="001127CC" w:rsidRPr="001127CC" w:rsidRDefault="001127CC" w:rsidP="001127CC">
      <w:pPr>
        <w:widowControl/>
        <w:snapToGrid w:val="0"/>
        <w:spacing w:line="240" w:lineRule="atLeast"/>
        <w:jc w:val="left"/>
        <w:rPr>
          <w:rFonts w:ascii="Times New Roman" w:eastAsia="宋体" w:hAnsi="Times New Roman" w:cs="Times New Roman" w:hint="eastAsia"/>
          <w:color w:val="000000"/>
          <w:kern w:val="0"/>
          <w:sz w:val="44"/>
          <w:szCs w:val="44"/>
        </w:rPr>
      </w:pPr>
    </w:p>
    <w:p w:rsidR="001127CC" w:rsidRPr="001127CC" w:rsidRDefault="001127CC" w:rsidP="001127CC">
      <w:pPr>
        <w:widowControl/>
        <w:spacing w:line="640" w:lineRule="atLeast"/>
        <w:jc w:val="left"/>
        <w:rPr>
          <w:rFonts w:ascii="仿宋_GB2312" w:eastAsia="仿宋_GB2312" w:hAnsi="宋体" w:cs="宋体"/>
          <w:color w:val="333333"/>
          <w:kern w:val="0"/>
          <w:sz w:val="24"/>
          <w:szCs w:val="24"/>
        </w:rPr>
      </w:pPr>
      <w:r w:rsidRPr="001127CC">
        <w:rPr>
          <w:rFonts w:ascii="仿宋_GB2312" w:eastAsia="仿宋_GB2312" w:hAnsi="宋体" w:cs="宋体" w:hint="eastAsia"/>
          <w:color w:val="333333"/>
          <w:kern w:val="0"/>
          <w:sz w:val="24"/>
          <w:szCs w:val="24"/>
        </w:rPr>
        <w:t>各镇（街道）国土城建和水务局，区建筑工程质量监督站、区建筑工程质量检测站，各建设、勘察、设计、施工、监理单位、施工图审查机构：</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为增强我区建设系统的质量意识，促进建设工程质量管理水平提升，建设质量强区，按照《佛山市南海区国土城建和水务局关于印发2015年“质量月”活动方案的通知》（南建设工〔2015〕112号）、《佛山市南海区国土城建和水务局关于印发南海区房屋市政工程施工安全生产大检查深化“打非治违”和专项整治工作实施方案的通知》（南建设工〔2015〕110号）、《佛山市住房和城乡建设管理局关于开展工程质量治理两年行动2015年第二次督查暨“打非治违”专项检查的通知》（佛建管函〔2015〕562号）、《关于印发佛山市南海区国土城建和水务局2015年度建材打假专项行动实施方案的通知》(南建设〔2015〕88号）、《佛山市住房和城乡建设管理局关于开展2015年建筑节能与绿色建筑发展工作检查的通知》（佛建管函〔2015〕526号）等工作要求，我局决定联合有关部门组织开展2015年“质量月”建筑工程质量检查暨“打非治违”专项检查。现将有关事项通知如下：</w:t>
      </w:r>
    </w:p>
    <w:p w:rsidR="001127CC" w:rsidRPr="001127CC" w:rsidRDefault="001127CC" w:rsidP="001127CC">
      <w:pPr>
        <w:widowControl/>
        <w:spacing w:line="640" w:lineRule="atLeast"/>
        <w:ind w:firstLine="640"/>
        <w:jc w:val="left"/>
        <w:rPr>
          <w:rFonts w:ascii="黑体" w:eastAsia="黑体" w:hAnsi="宋体" w:cs="宋体" w:hint="eastAsia"/>
          <w:color w:val="333333"/>
          <w:kern w:val="0"/>
          <w:sz w:val="24"/>
          <w:szCs w:val="24"/>
        </w:rPr>
      </w:pPr>
      <w:r w:rsidRPr="001127CC">
        <w:rPr>
          <w:rFonts w:ascii="黑体" w:eastAsia="黑体" w:hAnsi="宋体" w:cs="宋体" w:hint="eastAsia"/>
          <w:color w:val="333333"/>
          <w:kern w:val="0"/>
          <w:sz w:val="24"/>
          <w:szCs w:val="24"/>
        </w:rPr>
        <w:t>一、主要安排</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b/>
          <w:bCs/>
          <w:color w:val="333333"/>
          <w:kern w:val="0"/>
          <w:sz w:val="24"/>
          <w:szCs w:val="24"/>
        </w:rPr>
        <w:t>（一）检查时间：</w:t>
      </w:r>
      <w:r w:rsidRPr="001127CC">
        <w:rPr>
          <w:rFonts w:ascii="仿宋_GB2312" w:eastAsia="仿宋_GB2312" w:hAnsi="宋体" w:cs="宋体" w:hint="eastAsia"/>
          <w:color w:val="333333"/>
          <w:kern w:val="0"/>
          <w:sz w:val="24"/>
          <w:szCs w:val="24"/>
        </w:rPr>
        <w:t>9月15至17日。</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b/>
          <w:bCs/>
          <w:color w:val="333333"/>
          <w:kern w:val="0"/>
          <w:sz w:val="24"/>
          <w:szCs w:val="24"/>
        </w:rPr>
        <w:lastRenderedPageBreak/>
        <w:t>（二）领导机构：</w:t>
      </w:r>
      <w:r w:rsidRPr="001127CC">
        <w:rPr>
          <w:rFonts w:ascii="仿宋_GB2312" w:eastAsia="仿宋_GB2312" w:hAnsi="宋体" w:cs="宋体" w:hint="eastAsia"/>
          <w:color w:val="333333"/>
          <w:kern w:val="0"/>
          <w:sz w:val="24"/>
          <w:szCs w:val="24"/>
        </w:rPr>
        <w:t>成立以刘浩文常务副局长为组长，张巨泉副局长、黄玮瑜副局长、谢寅龙总工程师为副组长，工程质量安全监管科、建筑市场监管科、设计科技科、区建筑工程质量监督站、区建筑工程质量检测站、区散装水泥办公室负责人为组员的检查工作领导小组。</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b/>
          <w:bCs/>
          <w:color w:val="333333"/>
          <w:kern w:val="0"/>
          <w:sz w:val="24"/>
          <w:szCs w:val="24"/>
        </w:rPr>
        <w:t>（三）检查人员：</w:t>
      </w:r>
      <w:r w:rsidRPr="001127CC">
        <w:rPr>
          <w:rFonts w:ascii="仿宋_GB2312" w:eastAsia="仿宋_GB2312" w:hAnsi="宋体" w:cs="宋体" w:hint="eastAsia"/>
          <w:color w:val="333333"/>
          <w:kern w:val="0"/>
          <w:sz w:val="24"/>
          <w:szCs w:val="24"/>
        </w:rPr>
        <w:t>检查组由区国土城建和水务局相关科室，区质量技术监督局、区工商行政管理局工作人员，区建筑工程质量监督站、区建筑工程质量检测站、各镇（街道）国土城建和水务局工作人员，区建设工程质量安全检查专家组成。</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b/>
          <w:bCs/>
          <w:color w:val="333333"/>
          <w:kern w:val="0"/>
          <w:sz w:val="24"/>
          <w:szCs w:val="24"/>
        </w:rPr>
        <w:t>（四）检查范围：</w:t>
      </w:r>
      <w:r w:rsidRPr="001127CC">
        <w:rPr>
          <w:rFonts w:ascii="仿宋_GB2312" w:eastAsia="仿宋_GB2312" w:hAnsi="宋体" w:cs="宋体" w:hint="eastAsia"/>
          <w:color w:val="333333"/>
          <w:kern w:val="0"/>
          <w:sz w:val="24"/>
          <w:szCs w:val="24"/>
        </w:rPr>
        <w:t>抽查全区在建房屋建筑和市政基础设施工程，重点是保障性住房项目、房地产项目、大型公共建筑项目。</w:t>
      </w:r>
    </w:p>
    <w:p w:rsidR="001127CC" w:rsidRPr="001127CC" w:rsidRDefault="001127CC" w:rsidP="001127CC">
      <w:pPr>
        <w:widowControl/>
        <w:spacing w:line="640" w:lineRule="atLeast"/>
        <w:ind w:firstLine="640"/>
        <w:jc w:val="left"/>
        <w:rPr>
          <w:rFonts w:ascii="黑体" w:eastAsia="黑体" w:hAnsi="宋体" w:cs="宋体" w:hint="eastAsia"/>
          <w:color w:val="333333"/>
          <w:kern w:val="0"/>
          <w:sz w:val="24"/>
          <w:szCs w:val="24"/>
        </w:rPr>
      </w:pPr>
      <w:r w:rsidRPr="001127CC">
        <w:rPr>
          <w:rFonts w:ascii="黑体" w:eastAsia="黑体" w:hAnsi="宋体" w:cs="宋体" w:hint="eastAsia"/>
          <w:color w:val="333333"/>
          <w:kern w:val="0"/>
          <w:sz w:val="24"/>
          <w:szCs w:val="24"/>
        </w:rPr>
        <w:t>三、检查内容</w:t>
      </w:r>
    </w:p>
    <w:p w:rsidR="001127CC" w:rsidRPr="001127CC" w:rsidRDefault="001127CC" w:rsidP="001127CC">
      <w:pPr>
        <w:widowControl/>
        <w:spacing w:line="640" w:lineRule="atLeast"/>
        <w:ind w:firstLine="640"/>
        <w:jc w:val="left"/>
        <w:rPr>
          <w:rFonts w:ascii="楷体_GB2312" w:eastAsia="楷体_GB2312" w:hAnsi="宋体" w:cs="宋体" w:hint="eastAsia"/>
          <w:b/>
          <w:bCs/>
          <w:color w:val="333333"/>
          <w:kern w:val="0"/>
          <w:sz w:val="24"/>
          <w:szCs w:val="24"/>
        </w:rPr>
      </w:pPr>
      <w:r w:rsidRPr="001127CC">
        <w:rPr>
          <w:rFonts w:ascii="楷体_GB2312" w:eastAsia="楷体_GB2312" w:hAnsi="宋体" w:cs="宋体" w:hint="eastAsia"/>
          <w:b/>
          <w:bCs/>
          <w:color w:val="333333"/>
          <w:kern w:val="0"/>
          <w:sz w:val="24"/>
          <w:szCs w:val="24"/>
        </w:rPr>
        <w:t>（一）参建主体市场行为情况</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1.建设单位执行招标投标程序、发包工程的情况，是否存在建设单位将工程发包给不具备相应资质、无安全生产许可证的单位或个人，不办理施工许可证、质量安全监督手续的行为。</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2.施工总承包、专业承包、劳务分包单位承包、分包工程的情况，是否存在施工单位无资质或超越资质承揽工程、违法分包转包工程行为。</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3.各责任主体现场项目负责人、技术负责人、质量管理负责人、安全管理负责人与企业依法建立劳动关系情况、在岗履职情况，特种作业人员持证上岗情况。</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lastRenderedPageBreak/>
        <w:t>4.建设单位与勘察、设计、施工图审查、施工、监理单位之间的工程款项拨付情况；施工总承包、专业承包单位与劳务分包单位的工程款及劳务费支付情况；农民工工资发放情况。</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5.主要建筑材料采购情况。</w:t>
      </w:r>
    </w:p>
    <w:p w:rsidR="001127CC" w:rsidRPr="001127CC" w:rsidRDefault="001127CC" w:rsidP="001127CC">
      <w:pPr>
        <w:widowControl/>
        <w:spacing w:line="640" w:lineRule="atLeast"/>
        <w:ind w:firstLine="640"/>
        <w:jc w:val="left"/>
        <w:rPr>
          <w:rFonts w:ascii="楷体_GB2312" w:eastAsia="楷体_GB2312" w:hAnsi="宋体" w:cs="宋体" w:hint="eastAsia"/>
          <w:b/>
          <w:bCs/>
          <w:color w:val="333333"/>
          <w:kern w:val="0"/>
          <w:sz w:val="24"/>
          <w:szCs w:val="24"/>
        </w:rPr>
      </w:pPr>
      <w:r w:rsidRPr="001127CC">
        <w:rPr>
          <w:rFonts w:ascii="楷体_GB2312" w:eastAsia="楷体_GB2312" w:hAnsi="宋体" w:cs="宋体" w:hint="eastAsia"/>
          <w:b/>
          <w:bCs/>
          <w:color w:val="333333"/>
          <w:kern w:val="0"/>
          <w:sz w:val="24"/>
          <w:szCs w:val="24"/>
        </w:rPr>
        <w:t>（二）进场建材管理与实体质量情况</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1.建设项目施工资料记录和管理情况，重点检查施工试验报告、日志、质量验收记录等。</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 xml:space="preserve">2.建筑材料进场验收及见证取样制度执行情况。 </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3.工程建设执行强制性标准、实体质量控制情况。</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4.联合区质量技术监督局、区工商行政管理局抽检在建工程重点建材（钢筋、水泥、砌体、建筑用砂、石、安全网等），抽检工程实体质量。</w:t>
      </w:r>
    </w:p>
    <w:p w:rsidR="001127CC" w:rsidRPr="001127CC" w:rsidRDefault="001127CC" w:rsidP="001127CC">
      <w:pPr>
        <w:widowControl/>
        <w:spacing w:line="640" w:lineRule="atLeast"/>
        <w:ind w:firstLine="640"/>
        <w:jc w:val="left"/>
        <w:rPr>
          <w:rFonts w:ascii="楷体_GB2312" w:eastAsia="楷体_GB2312" w:hAnsi="宋体" w:cs="宋体" w:hint="eastAsia"/>
          <w:b/>
          <w:bCs/>
          <w:color w:val="333333"/>
          <w:kern w:val="0"/>
          <w:sz w:val="24"/>
          <w:szCs w:val="24"/>
        </w:rPr>
      </w:pPr>
      <w:r w:rsidRPr="001127CC">
        <w:rPr>
          <w:rFonts w:ascii="楷体_GB2312" w:eastAsia="楷体_GB2312" w:hAnsi="宋体" w:cs="宋体" w:hint="eastAsia"/>
          <w:b/>
          <w:bCs/>
          <w:color w:val="333333"/>
          <w:kern w:val="0"/>
          <w:sz w:val="24"/>
          <w:szCs w:val="24"/>
        </w:rPr>
        <w:t>（三）施工现场“三禁”落实情况</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施工现场根据《广东省促进散装水泥发展和应用规定》（2011省府令第156号）和《印发〈佛山市限期禁止现场搅拌砂浆暂行规定〉的通知》（佛府办〔2011〕217号）的要求落实“三禁”工作（禁止使用袋装水泥、禁止现场搅拌混凝土、禁止现场搅拌砂浆）的情况。</w:t>
      </w:r>
    </w:p>
    <w:p w:rsidR="001127CC" w:rsidRPr="001127CC" w:rsidRDefault="001127CC" w:rsidP="001127CC">
      <w:pPr>
        <w:widowControl/>
        <w:spacing w:line="640" w:lineRule="atLeast"/>
        <w:ind w:firstLine="640"/>
        <w:jc w:val="left"/>
        <w:rPr>
          <w:rFonts w:ascii="楷体_GB2312" w:eastAsia="楷体_GB2312" w:hAnsi="宋体" w:cs="宋体" w:hint="eastAsia"/>
          <w:b/>
          <w:bCs/>
          <w:color w:val="333333"/>
          <w:kern w:val="0"/>
          <w:sz w:val="24"/>
          <w:szCs w:val="24"/>
        </w:rPr>
      </w:pPr>
      <w:r w:rsidRPr="001127CC">
        <w:rPr>
          <w:rFonts w:ascii="楷体_GB2312" w:eastAsia="楷体_GB2312" w:hAnsi="宋体" w:cs="宋体" w:hint="eastAsia"/>
          <w:b/>
          <w:bCs/>
          <w:color w:val="333333"/>
          <w:kern w:val="0"/>
          <w:sz w:val="24"/>
          <w:szCs w:val="24"/>
        </w:rPr>
        <w:t>（四）节能与绿色建筑标准落实情况</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1.检查设计和审图环节执行节能标准、绿色建筑标准（绿色建筑项目）情况：</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（1）项目总平面图，建筑、暖通空调、电气专业设计图；</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（2）建筑、暖通空调等专业的节能计算书；</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lastRenderedPageBreak/>
        <w:t>（3）建筑节能设计说明专篇、节能设计审查意见、节能备案表。如为绿色建筑项目，还应检查绿色建筑设计说明专篇、施工图审查意见、模拟计算书、绿色建筑设计审查备案表等。</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2.检查施工和验收环节执行节能标准、绿色建筑标准情况：</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（1）建筑节能工程专项施工方案、监理方案、施工图文件等是否齐备，施工现场对建筑节能信息的公示情况；</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（2）工地现场的施工图文件与经审查通过的施工图文件是否一致，是否按审查后的施工图进行施工；</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（3）建筑节能、绿色建筑设计内容如有重大变更，变更程序是否完善并经原审图机构重新审核通过，是否重新报送备案；</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4）主要建筑节能材料现场管理台帐（含进场时间、数量、规格、保质书编号、生产厂家或供应商、检验时间、检验结果、报审时间等），节能材料应提供质保书、有效期内的型式检验报告、现场抽样复试报告；</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（5）建筑节能施工情况现场检查；</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（6）建筑节能工程专项验收情况，各节能分项工程的施工及验收记录。</w:t>
      </w:r>
    </w:p>
    <w:p w:rsidR="001127CC" w:rsidRPr="001127CC" w:rsidRDefault="001127CC" w:rsidP="001127CC">
      <w:pPr>
        <w:widowControl/>
        <w:spacing w:line="640" w:lineRule="atLeast"/>
        <w:ind w:firstLine="640"/>
        <w:jc w:val="left"/>
        <w:rPr>
          <w:rFonts w:ascii="黑体" w:eastAsia="黑体" w:hAnsi="宋体" w:cs="宋体" w:hint="eastAsia"/>
          <w:color w:val="333333"/>
          <w:kern w:val="0"/>
          <w:sz w:val="24"/>
          <w:szCs w:val="24"/>
        </w:rPr>
      </w:pPr>
      <w:r w:rsidRPr="001127CC">
        <w:rPr>
          <w:rFonts w:ascii="黑体" w:eastAsia="黑体" w:hAnsi="宋体" w:cs="宋体" w:hint="eastAsia"/>
          <w:color w:val="333333"/>
          <w:kern w:val="0"/>
          <w:sz w:val="24"/>
          <w:szCs w:val="24"/>
        </w:rPr>
        <w:t>四、有关要求</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一）按照市局《关于开展工程质量治理两年行动2015年第二次督查暨“打非治违”专项检查的通知》（佛建管函〔2015〕562号）等文件要求，所有在建房屋建筑工程项目部填写好附件1，并按附件2-6准备好相关资料放置于施工现场备查。市局将于9月18日抽取南海区在建项目进行专项督查。</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lastRenderedPageBreak/>
        <w:t>（二）工程项目各相关责任主体应高度重视，认真做好自查和备检工作。被抽检项目的建设、勘察、设计、施工图审查、施工、监理等单位的项目管理人员届时必须到场，提供相关文件资料，接受询问检查，配合检查人员对现场进行实地踏勘及抽检。检查各方责任主体市场行为的相关文件资料在检查时不能当场提供、检查后限时内不能补交的，视同没有此类材料，按违法行为予以认定。</w:t>
      </w:r>
    </w:p>
    <w:p w:rsidR="001127CC" w:rsidRPr="001127CC" w:rsidRDefault="001127CC" w:rsidP="001127CC">
      <w:pPr>
        <w:widowControl/>
        <w:spacing w:line="640" w:lineRule="atLeast"/>
        <w:ind w:firstLine="640"/>
        <w:jc w:val="left"/>
        <w:rPr>
          <w:rFonts w:ascii="宋体" w:eastAsia="宋体" w:hAnsi="宋体" w:cs="宋体" w:hint="eastAsia"/>
          <w:color w:val="333333"/>
          <w:kern w:val="0"/>
          <w:szCs w:val="21"/>
        </w:rPr>
      </w:pPr>
      <w:r w:rsidRPr="001127CC">
        <w:rPr>
          <w:rFonts w:ascii="仿宋_GB2312" w:eastAsia="仿宋_GB2312" w:hAnsi="宋体" w:cs="宋体" w:hint="eastAsia"/>
          <w:color w:val="333333"/>
          <w:kern w:val="0"/>
          <w:sz w:val="24"/>
          <w:szCs w:val="24"/>
        </w:rPr>
        <w:t>（三）对抽检的重点建材检验结果不合格的，将联合区质量技术监督局、区工商行政管理局坚决打击生产、销售和使用假冒伪劣建材产品违法违规行为。</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宋体" w:eastAsia="宋体" w:hAnsi="宋体" w:cs="宋体" w:hint="eastAsia"/>
          <w:color w:val="333333"/>
          <w:kern w:val="0"/>
          <w:szCs w:val="21"/>
        </w:rPr>
        <w:t> </w:t>
      </w:r>
    </w:p>
    <w:p w:rsidR="001127CC" w:rsidRPr="001127CC" w:rsidRDefault="001127CC" w:rsidP="001127CC">
      <w:pPr>
        <w:widowControl/>
        <w:spacing w:line="640" w:lineRule="atLeast"/>
        <w:ind w:firstLine="64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附件：  1.受检工程基本情况表</w:t>
      </w:r>
    </w:p>
    <w:p w:rsidR="001127CC" w:rsidRPr="001127CC" w:rsidRDefault="001127CC" w:rsidP="001127CC">
      <w:pPr>
        <w:widowControl/>
        <w:spacing w:line="640" w:lineRule="atLeast"/>
        <w:ind w:firstLine="160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2.各方主体项目现场须提供材料清单</w:t>
      </w:r>
    </w:p>
    <w:p w:rsidR="001127CC" w:rsidRDefault="001127CC" w:rsidP="001127CC">
      <w:pPr>
        <w:widowControl/>
        <w:spacing w:line="640" w:lineRule="atLeast"/>
        <w:ind w:firstLine="160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3.工程建设强制性标准执行情况检查表</w:t>
      </w:r>
    </w:p>
    <w:p w:rsidR="001127CC" w:rsidRPr="001127CC" w:rsidRDefault="001127CC" w:rsidP="001127CC">
      <w:pPr>
        <w:widowControl/>
        <w:spacing w:line="640" w:lineRule="atLeast"/>
        <w:ind w:firstLine="160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4.工程建设各方责任主体和有关机构质量行为检查表</w:t>
      </w:r>
    </w:p>
    <w:p w:rsidR="001127CC" w:rsidRPr="001127CC" w:rsidRDefault="001127CC" w:rsidP="001127CC">
      <w:pPr>
        <w:widowControl/>
        <w:spacing w:line="640" w:lineRule="atLeast"/>
        <w:ind w:firstLine="160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5.市政工程质量检查表</w:t>
      </w:r>
    </w:p>
    <w:p w:rsidR="001127CC" w:rsidRPr="001127CC" w:rsidRDefault="001127CC" w:rsidP="001127CC">
      <w:pPr>
        <w:widowControl/>
        <w:spacing w:line="640" w:lineRule="atLeast"/>
        <w:ind w:firstLine="1600"/>
        <w:jc w:val="left"/>
        <w:rPr>
          <w:rFonts w:ascii="仿宋_GB2312" w:eastAsia="仿宋_GB2312" w:hAnsi="宋体" w:cs="宋体" w:hint="eastAsia"/>
          <w:color w:val="333333"/>
          <w:kern w:val="0"/>
          <w:sz w:val="24"/>
          <w:szCs w:val="24"/>
        </w:rPr>
      </w:pPr>
      <w:r w:rsidRPr="001127CC">
        <w:rPr>
          <w:rFonts w:ascii="仿宋_GB2312" w:eastAsia="仿宋_GB2312" w:hAnsi="宋体" w:cs="宋体" w:hint="eastAsia"/>
          <w:color w:val="333333"/>
          <w:kern w:val="0"/>
          <w:sz w:val="24"/>
          <w:szCs w:val="24"/>
        </w:rPr>
        <w:t>6.“三禁”工作检查项目评分表</w:t>
      </w:r>
    </w:p>
    <w:p w:rsidR="001127CC" w:rsidRPr="001127CC" w:rsidRDefault="001127CC" w:rsidP="001127CC">
      <w:pPr>
        <w:widowControl/>
        <w:spacing w:line="640" w:lineRule="atLeast"/>
        <w:jc w:val="left"/>
        <w:rPr>
          <w:rFonts w:ascii="仿宋_GB2312" w:eastAsia="仿宋_GB2312" w:hAnsi="宋体" w:cs="宋体" w:hint="eastAsia"/>
          <w:color w:val="000000"/>
          <w:kern w:val="0"/>
          <w:szCs w:val="21"/>
        </w:rPr>
      </w:pPr>
      <w:r w:rsidRPr="001127CC">
        <w:rPr>
          <w:rFonts w:ascii="宋体" w:eastAsia="宋体" w:hAnsi="宋体" w:cs="宋体" w:hint="eastAsia"/>
          <w:color w:val="333333"/>
          <w:kern w:val="0"/>
          <w:sz w:val="24"/>
          <w:szCs w:val="24"/>
        </w:rPr>
        <w:t xml:space="preserve">    </w:t>
      </w:r>
    </w:p>
    <w:p w:rsidR="001127CC" w:rsidRPr="001127CC" w:rsidRDefault="001127CC" w:rsidP="001127CC">
      <w:pPr>
        <w:widowControl/>
        <w:spacing w:line="640" w:lineRule="atLeast"/>
        <w:ind w:firstLine="420"/>
        <w:jc w:val="left"/>
        <w:rPr>
          <w:rFonts w:ascii="仿宋_GB2312" w:eastAsia="仿宋_GB2312" w:hAnsi="宋体" w:cs="宋体" w:hint="eastAsia"/>
          <w:color w:val="000000"/>
          <w:kern w:val="0"/>
          <w:szCs w:val="21"/>
        </w:rPr>
      </w:pPr>
    </w:p>
    <w:p w:rsidR="001127CC" w:rsidRPr="001127CC" w:rsidRDefault="001127CC" w:rsidP="001127CC">
      <w:pPr>
        <w:widowControl/>
        <w:spacing w:line="640" w:lineRule="atLeast"/>
        <w:ind w:firstLine="3840"/>
        <w:jc w:val="right"/>
        <w:rPr>
          <w:rFonts w:ascii="宋体" w:eastAsia="宋体" w:hAnsi="宋体" w:cs="宋体" w:hint="eastAsia"/>
          <w:color w:val="333333"/>
          <w:kern w:val="0"/>
          <w:szCs w:val="21"/>
        </w:rPr>
      </w:pPr>
      <w:r w:rsidRPr="001127CC">
        <w:rPr>
          <w:rFonts w:ascii="仿宋_GB2312" w:eastAsia="仿宋_GB2312" w:hAnsi="宋体" w:cs="宋体" w:hint="eastAsia"/>
          <w:color w:val="000000"/>
          <w:kern w:val="0"/>
          <w:sz w:val="24"/>
          <w:szCs w:val="24"/>
        </w:rPr>
        <w:t>佛山市南海区国土城建和水务局</w:t>
      </w:r>
    </w:p>
    <w:p w:rsidR="001127CC" w:rsidRPr="001127CC" w:rsidRDefault="001127CC" w:rsidP="001127CC">
      <w:pPr>
        <w:widowControl/>
        <w:spacing w:line="640" w:lineRule="atLeast"/>
        <w:ind w:firstLine="3840"/>
        <w:jc w:val="right"/>
        <w:rPr>
          <w:rFonts w:ascii="宋体" w:eastAsia="宋体" w:hAnsi="宋体" w:cs="宋体" w:hint="eastAsia"/>
          <w:color w:val="333333"/>
          <w:kern w:val="0"/>
          <w:szCs w:val="21"/>
        </w:rPr>
      </w:pPr>
      <w:r w:rsidRPr="001127CC">
        <w:rPr>
          <w:rFonts w:ascii="仿宋_GB2312" w:eastAsia="仿宋_GB2312" w:hAnsi="宋体" w:cs="宋体" w:hint="eastAsia"/>
          <w:color w:val="000000"/>
          <w:kern w:val="0"/>
          <w:sz w:val="24"/>
          <w:szCs w:val="24"/>
        </w:rPr>
        <w:t>2015年9月10日</w:t>
      </w:r>
    </w:p>
    <w:p w:rsidR="001127CC" w:rsidRDefault="001127CC">
      <w:pPr>
        <w:rPr>
          <w:rFonts w:hint="eastAsia"/>
        </w:rPr>
      </w:pPr>
    </w:p>
    <w:sectPr w:rsidR="001127C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2229" w:rsidRDefault="00942229" w:rsidP="001127CC">
      <w:r>
        <w:separator/>
      </w:r>
    </w:p>
  </w:endnote>
  <w:endnote w:type="continuationSeparator" w:id="1">
    <w:p w:rsidR="00942229" w:rsidRDefault="00942229" w:rsidP="001127C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2229" w:rsidRDefault="00942229" w:rsidP="001127CC">
      <w:r>
        <w:separator/>
      </w:r>
    </w:p>
  </w:footnote>
  <w:footnote w:type="continuationSeparator" w:id="1">
    <w:p w:rsidR="00942229" w:rsidRDefault="00942229" w:rsidP="001127C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127CC"/>
    <w:rsid w:val="001127CC"/>
    <w:rsid w:val="0094222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127C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127CC"/>
    <w:rPr>
      <w:sz w:val="18"/>
      <w:szCs w:val="18"/>
    </w:rPr>
  </w:style>
  <w:style w:type="paragraph" w:styleId="a4">
    <w:name w:val="footer"/>
    <w:basedOn w:val="a"/>
    <w:link w:val="Char0"/>
    <w:uiPriority w:val="99"/>
    <w:semiHidden/>
    <w:unhideWhenUsed/>
    <w:rsid w:val="001127C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127CC"/>
    <w:rPr>
      <w:sz w:val="18"/>
      <w:szCs w:val="18"/>
    </w:rPr>
  </w:style>
  <w:style w:type="character" w:styleId="a5">
    <w:name w:val="Hyperlink"/>
    <w:basedOn w:val="a0"/>
    <w:uiPriority w:val="99"/>
    <w:semiHidden/>
    <w:unhideWhenUsed/>
    <w:rsid w:val="001127CC"/>
    <w:rPr>
      <w:strike w:val="0"/>
      <w:dstrike w:val="0"/>
      <w:color w:val="343434"/>
      <w:sz w:val="20"/>
      <w:szCs w:val="20"/>
      <w:u w:val="none"/>
      <w:effect w:val="none"/>
    </w:rPr>
  </w:style>
</w:styles>
</file>

<file path=word/webSettings.xml><?xml version="1.0" encoding="utf-8"?>
<w:webSettings xmlns:r="http://schemas.openxmlformats.org/officeDocument/2006/relationships" xmlns:w="http://schemas.openxmlformats.org/wordprocessingml/2006/main">
  <w:divs>
    <w:div w:id="2114006589">
      <w:bodyDiv w:val="1"/>
      <w:marLeft w:val="0"/>
      <w:marRight w:val="0"/>
      <w:marTop w:val="0"/>
      <w:marBottom w:val="0"/>
      <w:divBdr>
        <w:top w:val="none" w:sz="0" w:space="0" w:color="auto"/>
        <w:left w:val="none" w:sz="0" w:space="0" w:color="auto"/>
        <w:bottom w:val="none" w:sz="0" w:space="0" w:color="auto"/>
        <w:right w:val="none" w:sz="0" w:space="0" w:color="auto"/>
      </w:divBdr>
      <w:divsChild>
        <w:div w:id="1390227279">
          <w:marLeft w:val="0"/>
          <w:marRight w:val="0"/>
          <w:marTop w:val="60"/>
          <w:marBottom w:val="0"/>
          <w:divBdr>
            <w:top w:val="dashed" w:sz="2" w:space="0" w:color="0000FF"/>
            <w:left w:val="dashed" w:sz="2" w:space="0" w:color="0000FF"/>
            <w:bottom w:val="dashed" w:sz="2" w:space="0" w:color="0000FF"/>
            <w:right w:val="dashed" w:sz="2" w:space="0" w:color="0000FF"/>
          </w:divBdr>
          <w:divsChild>
            <w:div w:id="507599573">
              <w:marLeft w:val="150"/>
              <w:marRight w:val="0"/>
              <w:marTop w:val="75"/>
              <w:marBottom w:val="0"/>
              <w:divBdr>
                <w:top w:val="dashed" w:sz="2" w:space="0" w:color="CCCCCC"/>
                <w:left w:val="dashed" w:sz="2" w:space="0" w:color="CCCCCC"/>
                <w:bottom w:val="dashed" w:sz="2" w:space="0" w:color="CCCCCC"/>
                <w:right w:val="dashed" w:sz="2" w:space="0" w:color="CCCCCC"/>
              </w:divBdr>
              <w:divsChild>
                <w:div w:id="120849669">
                  <w:marLeft w:val="0"/>
                  <w:marRight w:val="0"/>
                  <w:marTop w:val="0"/>
                  <w:marBottom w:val="0"/>
                  <w:divBdr>
                    <w:top w:val="dashed" w:sz="2" w:space="0" w:color="CCCCCC"/>
                    <w:left w:val="dashed" w:sz="2" w:space="0" w:color="CCCCCC"/>
                    <w:bottom w:val="dashed" w:sz="2" w:space="0" w:color="CCCCCC"/>
                    <w:right w:val="dashed" w:sz="2" w:space="0" w:color="CCCCCC"/>
                  </w:divBdr>
                  <w:divsChild>
                    <w:div w:id="1845973732">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375</Words>
  <Characters>2142</Characters>
  <Application>Microsoft Office Word</Application>
  <DocSecurity>0</DocSecurity>
  <Lines>17</Lines>
  <Paragraphs>5</Paragraphs>
  <ScaleCrop>false</ScaleCrop>
  <Company/>
  <LinksUpToDate>false</LinksUpToDate>
  <CharactersWithSpaces>2512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2015-09-14T02:22:00Z</dcterms:created>
  <dcterms:modified xsi:type="dcterms:W3CDTF">2015-09-14T02:24:00Z</dcterms:modified>
</cp:coreProperties>
</file>