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862" w:firstLineChars="196"/>
        <w:jc w:val="center"/>
        <w:rPr>
          <w:rFonts w:hint="eastAsia" w:ascii="方正小标宋简体" w:hAnsi="方正小标宋简体" w:eastAsia="方正小标宋简体" w:cs="方正小标宋简体"/>
          <w:b/>
          <w:sz w:val="44"/>
          <w:szCs w:val="44"/>
          <w:lang w:eastAsia="zh-CN"/>
        </w:rPr>
      </w:pPr>
      <w:r>
        <w:rPr>
          <w:sz w:val="44"/>
          <w:szCs w:val="44"/>
        </w:rPr>
        <w:pict>
          <v:shape id="文本框 1" o:spid="_x0000_s1026" o:spt="202" type="#_x0000_t202" style="position:absolute;left:0pt;margin-left:10.05pt;margin-top:-42.2pt;height:33pt;width:63.75pt;z-index:251658240;mso-width-relative:page;mso-height-relative:page;" fillcolor="#FFFFFF" filled="t" stroked="f" coordsize="21600,21600" o:gfxdata="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xHMKcdUAAAAKAQAADwAAAAAAAAABACAAAAAiAAAAZHJzL2Rv&#10;d25yZXYueG1sUEsBAhQAFAAAAAgAh07iQBGiFaw9AgAASgQAAA4AAAAAAAAAAQAgAAAAJAEAAGRy&#10;cy9lMm9Eb2MueG1sUEsFBgAAAAAGAAYAWQEAANMFAAAAAA==&#10;">
            <v:path/>
            <v:fill on="t" focussize="0,0"/>
            <v:stroke on="f" weight="0.5pt"/>
            <v:imagedata o:title=""/>
            <o:lock v:ext="edit" aspectratio="f"/>
            <v:textbox>
              <w:txbxContent>
                <w:p>
                  <w:pPr>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w:t>
                  </w:r>
                </w:p>
              </w:txbxContent>
            </v:textbox>
          </v:shape>
        </w:pict>
      </w:r>
      <w:r>
        <w:rPr>
          <w:rFonts w:hint="eastAsia" w:ascii="方正小标宋简体" w:hAnsi="方正小标宋简体" w:eastAsia="方正小标宋简体" w:cs="方正小标宋简体"/>
          <w:b/>
          <w:sz w:val="44"/>
          <w:szCs w:val="44"/>
          <w:lang w:eastAsia="zh-CN"/>
        </w:rPr>
        <w:t>告</w:t>
      </w:r>
      <w:r>
        <w:rPr>
          <w:rFonts w:hint="eastAsia" w:ascii="方正小标宋简体" w:hAnsi="方正小标宋简体" w:eastAsia="方正小标宋简体" w:cs="方正小标宋简体"/>
          <w:b/>
          <w:sz w:val="44"/>
          <w:szCs w:val="44"/>
          <w:lang w:val="en-US" w:eastAsia="zh-CN"/>
        </w:rPr>
        <w:t xml:space="preserve"> </w:t>
      </w:r>
      <w:r>
        <w:rPr>
          <w:rFonts w:hint="eastAsia" w:ascii="方正小标宋简体" w:hAnsi="方正小标宋简体" w:eastAsia="方正小标宋简体" w:cs="方正小标宋简体"/>
          <w:b/>
          <w:sz w:val="44"/>
          <w:szCs w:val="44"/>
          <w:lang w:eastAsia="zh-CN"/>
        </w:rPr>
        <w:t>知</w:t>
      </w:r>
      <w:r>
        <w:rPr>
          <w:rFonts w:hint="eastAsia" w:ascii="方正小标宋简体" w:hAnsi="方正小标宋简体" w:eastAsia="方正小标宋简体" w:cs="方正小标宋简体"/>
          <w:b/>
          <w:sz w:val="44"/>
          <w:szCs w:val="44"/>
          <w:lang w:val="en-US" w:eastAsia="zh-CN"/>
        </w:rPr>
        <w:t xml:space="preserve"> </w:t>
      </w:r>
      <w:r>
        <w:rPr>
          <w:rFonts w:hint="eastAsia" w:ascii="方正小标宋简体" w:hAnsi="方正小标宋简体" w:eastAsia="方正小标宋简体" w:cs="方正小标宋简体"/>
          <w:b/>
          <w:sz w:val="44"/>
          <w:szCs w:val="44"/>
          <w:lang w:eastAsia="zh-CN"/>
        </w:rPr>
        <w:t>书</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eastAsia="zh-CN"/>
        </w:rPr>
      </w:pPr>
      <w:r>
        <w:rPr>
          <w:rFonts w:hint="eastAsia" w:ascii="仿宋_GB2312" w:hAnsi="仿宋_GB2312" w:eastAsia="仿宋_GB2312" w:cs="仿宋_GB2312"/>
          <w:b/>
          <w:sz w:val="24"/>
          <w:szCs w:val="24"/>
          <w:lang w:eastAsia="zh-CN"/>
        </w:rPr>
        <w:t>一、内容一致性。</w:t>
      </w:r>
      <w:r>
        <w:rPr>
          <w:rFonts w:hint="eastAsia" w:ascii="仿宋_GB2312" w:hAnsi="仿宋_GB2312" w:eastAsia="仿宋_GB2312" w:cs="仿宋_GB2312"/>
          <w:sz w:val="24"/>
          <w:szCs w:val="24"/>
          <w:lang w:eastAsia="zh-CN"/>
        </w:rPr>
        <w:t>建设单位提交施工图审查机构审查的图纸内容应与规划、消防等行政部门审批通过的方案一致。</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eastAsia="zh-CN"/>
        </w:rPr>
      </w:pPr>
      <w:r>
        <w:rPr>
          <w:rFonts w:hint="eastAsia" w:ascii="仿宋_GB2312" w:hAnsi="仿宋_GB2312" w:eastAsia="仿宋_GB2312" w:cs="仿宋_GB2312"/>
          <w:b/>
          <w:sz w:val="24"/>
          <w:szCs w:val="24"/>
          <w:lang w:eastAsia="zh-CN"/>
        </w:rPr>
        <w:t>二、燃气审图。</w:t>
      </w:r>
      <w:r>
        <w:rPr>
          <w:rFonts w:hint="eastAsia" w:ascii="仿宋_GB2312" w:hAnsi="仿宋_GB2312" w:eastAsia="仿宋_GB2312" w:cs="仿宋_GB2312"/>
          <w:sz w:val="24"/>
          <w:szCs w:val="24"/>
          <w:lang w:eastAsia="zh-CN"/>
        </w:rPr>
        <w:t>根据《关于规范我区庭院燃气管道工程建设管理的指导意见》（南建设〔2016〕92号）规定，我区范围内使用管道燃气的新建住宅小区、保障性住房、大型公共建筑等房建工程（简称新建工程）的庭院燃气管道工程建设应与主体工程同时设计、同时施工、同时验收和投入使用。请建设单位按照要求将燃气工程施工图设计文件送到具备相应燃气审图资质的审图机构进行审查，并及时办理施工图审查文件备案手续。</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sz w:val="24"/>
          <w:szCs w:val="24"/>
          <w:lang w:eastAsia="zh-CN"/>
        </w:rPr>
        <w:t>三</w:t>
      </w:r>
      <w:r>
        <w:rPr>
          <w:rFonts w:hint="eastAsia" w:ascii="仿宋_GB2312" w:hAnsi="仿宋_GB2312" w:eastAsia="仿宋_GB2312" w:cs="仿宋_GB2312"/>
          <w:b/>
          <w:sz w:val="24"/>
          <w:szCs w:val="24"/>
        </w:rPr>
        <w:t>、防雷</w:t>
      </w:r>
      <w:r>
        <w:rPr>
          <w:rFonts w:hint="eastAsia" w:ascii="仿宋_GB2312" w:hAnsi="仿宋_GB2312" w:eastAsia="仿宋_GB2312" w:cs="仿宋_GB2312"/>
          <w:b/>
          <w:sz w:val="24"/>
          <w:szCs w:val="24"/>
          <w:lang w:eastAsia="zh-CN"/>
        </w:rPr>
        <w:t>审图。</w:t>
      </w:r>
      <w:r>
        <w:rPr>
          <w:rFonts w:hint="eastAsia" w:ascii="仿宋_GB2312" w:hAnsi="仿宋_GB2312" w:eastAsia="仿宋_GB2312" w:cs="仿宋_GB2312"/>
          <w:sz w:val="24"/>
          <w:szCs w:val="24"/>
        </w:rPr>
        <w:t>根据</w:t>
      </w:r>
      <w:r>
        <w:rPr>
          <w:rFonts w:hint="eastAsia" w:ascii="仿宋_GB2312" w:hAnsi="仿宋_GB2312" w:eastAsia="仿宋_GB2312" w:cs="仿宋_GB2312"/>
          <w:sz w:val="24"/>
          <w:szCs w:val="24"/>
          <w:lang w:eastAsia="zh-CN"/>
        </w:rPr>
        <w:t>《关于做好优化房屋建筑和市政基础设施工程防雷许可工作的通知》（</w:t>
      </w:r>
      <w:r>
        <w:rPr>
          <w:rFonts w:hint="eastAsia" w:ascii="仿宋_GB2312" w:hAnsi="仿宋_GB2312" w:eastAsia="仿宋_GB2312" w:cs="仿宋_GB2312"/>
          <w:sz w:val="24"/>
          <w:szCs w:val="24"/>
        </w:rPr>
        <w:t>粤气</w:t>
      </w:r>
      <w:r>
        <w:rPr>
          <w:rFonts w:hint="eastAsia" w:ascii="仿宋_GB2312" w:hAnsi="仿宋_GB2312" w:eastAsia="仿宋_GB2312" w:cs="仿宋_GB2312"/>
          <w:sz w:val="24"/>
          <w:szCs w:val="24"/>
          <w:lang w:eastAsia="zh-CN"/>
        </w:rPr>
        <w:t>〔2016〕</w:t>
      </w:r>
      <w:r>
        <w:rPr>
          <w:rFonts w:hint="eastAsia" w:ascii="仿宋_GB2312" w:hAnsi="仿宋_GB2312" w:eastAsia="仿宋_GB2312" w:cs="仿宋_GB2312"/>
          <w:sz w:val="24"/>
          <w:szCs w:val="24"/>
        </w:rPr>
        <w:t>86号</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，气象部门负责防雷装置设计审核和竣工验收许可的建设工程具体范围包括：</w:t>
      </w:r>
      <w:r>
        <w:rPr>
          <w:rFonts w:hint="eastAsia" w:ascii="仿宋_GB2312" w:hAnsi="仿宋_GB2312" w:eastAsia="仿宋_GB2312" w:cs="仿宋_GB2312"/>
          <w:sz w:val="24"/>
          <w:szCs w:val="24"/>
          <w:lang w:val="en-US" w:eastAsia="zh-CN"/>
        </w:rPr>
        <w:t>1.</w:t>
      </w:r>
      <w:r>
        <w:rPr>
          <w:rFonts w:hint="eastAsia" w:ascii="仿宋_GB2312" w:hAnsi="仿宋_GB2312" w:eastAsia="仿宋_GB2312" w:cs="仿宋_GB2312"/>
          <w:sz w:val="24"/>
          <w:szCs w:val="24"/>
        </w:rPr>
        <w:t>油库、气库、弹药库、化学品仓库、民用爆炸物品、烟花爆竹、石化等易燃易爆建设工程和场所；雷电易发区内的矿区、旅游景点或者</w:t>
      </w:r>
      <w:bookmarkStart w:id="0" w:name="_GoBack"/>
      <w:bookmarkEnd w:id="0"/>
      <w:r>
        <w:rPr>
          <w:rFonts w:hint="eastAsia" w:ascii="仿宋_GB2312" w:hAnsi="仿宋_GB2312" w:eastAsia="仿宋_GB2312" w:cs="仿宋_GB2312"/>
          <w:sz w:val="24"/>
          <w:szCs w:val="24"/>
        </w:rPr>
        <w:t>投入使用的建（构）筑物、设施等需要单独安装雷电防护装置的场所，以及雷电风险高且没有防雷标准规范、需要进行特殊论证的大型项目</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2.房屋建筑工程和市政基础设施工程中含有油库、气库、弹药库、化学品仓库、烟花爆竹、石化等易燃易爆附属工程的，其主体工程纳入建筑工程施工图审查、竣工验收备案管理，其易燃易爆附属工程防雷装置设计审核和竣工验收许可由气象部门负责。如有涉及以上情形，请建设单位按照要求执行。</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sz w:val="24"/>
          <w:szCs w:val="24"/>
          <w:lang w:eastAsia="zh-CN"/>
        </w:rPr>
        <w:t>四</w:t>
      </w:r>
      <w:r>
        <w:rPr>
          <w:rFonts w:hint="eastAsia" w:ascii="仿宋_GB2312" w:hAnsi="仿宋_GB2312" w:eastAsia="仿宋_GB2312" w:cs="仿宋_GB2312"/>
          <w:b/>
          <w:sz w:val="24"/>
          <w:szCs w:val="24"/>
        </w:rPr>
        <w:t>、限制使用锤击桩</w:t>
      </w:r>
      <w:r>
        <w:rPr>
          <w:rFonts w:hint="eastAsia" w:ascii="仿宋_GB2312" w:hAnsi="仿宋_GB2312" w:eastAsia="仿宋_GB2312" w:cs="仿宋_GB2312"/>
          <w:b/>
          <w:sz w:val="24"/>
          <w:szCs w:val="24"/>
          <w:lang w:eastAsia="zh-CN"/>
        </w:rPr>
        <w:t>。</w:t>
      </w:r>
      <w:r>
        <w:rPr>
          <w:rFonts w:hint="eastAsia" w:ascii="仿宋_GB2312" w:hAnsi="仿宋_GB2312" w:eastAsia="仿宋_GB2312" w:cs="仿宋_GB2312"/>
          <w:sz w:val="24"/>
          <w:szCs w:val="24"/>
        </w:rPr>
        <w:t>根据</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关于进一步限制使用锤击桩等有关事项的通知</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南建设</w:t>
      </w:r>
      <w:r>
        <w:rPr>
          <w:rFonts w:hint="eastAsia" w:ascii="仿宋_GB2312" w:hAnsi="仿宋_GB2312" w:eastAsia="仿宋_GB2312" w:cs="仿宋_GB2312"/>
          <w:sz w:val="24"/>
          <w:szCs w:val="24"/>
          <w:lang w:eastAsia="zh-CN"/>
        </w:rPr>
        <w:t>〔201</w:t>
      </w:r>
      <w:r>
        <w:rPr>
          <w:rFonts w:hint="eastAsia" w:ascii="仿宋_GB2312" w:hAnsi="仿宋_GB2312" w:eastAsia="仿宋_GB2312" w:cs="仿宋_GB2312"/>
          <w:sz w:val="24"/>
          <w:szCs w:val="24"/>
          <w:lang w:val="en-US" w:eastAsia="zh-CN"/>
        </w:rPr>
        <w:t>7</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14号</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，自2017年2月1日起在南海区范围内建筑施工禁止使用蒸汽桩机、锤击桩机；受地质、地形等条件限制确需使用的，必须填写《南海区使用蒸汽桩机、锤击桩机申请表》，报经建筑施工</w:t>
      </w:r>
      <w:r>
        <w:rPr>
          <w:rFonts w:hint="eastAsia" w:ascii="仿宋_GB2312" w:hAnsi="仿宋_GB2312" w:eastAsia="仿宋_GB2312" w:cs="仿宋_GB2312"/>
          <w:sz w:val="24"/>
          <w:szCs w:val="24"/>
          <w:lang w:val="en-US" w:eastAsia="zh-CN"/>
        </w:rPr>
        <w:t>作业所在地的环境保护主管部门批准。</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sz w:val="24"/>
          <w:szCs w:val="24"/>
          <w:lang w:val="en-US" w:eastAsia="zh-CN"/>
        </w:rPr>
        <w:t>五、房屋建筑工程勘察设计文件变更。</w:t>
      </w:r>
      <w:r>
        <w:rPr>
          <w:rFonts w:hint="eastAsia" w:ascii="仿宋_GB2312" w:hAnsi="仿宋_GB2312" w:eastAsia="仿宋_GB2312" w:cs="仿宋_GB2312"/>
          <w:sz w:val="24"/>
          <w:szCs w:val="24"/>
          <w:lang w:val="en-US" w:eastAsia="zh-CN"/>
        </w:rPr>
        <w:t>根据《关于印发&lt;房屋建筑</w:t>
      </w:r>
      <w:r>
        <w:rPr>
          <w:rFonts w:hint="eastAsia" w:ascii="仿宋_GB2312" w:hAnsi="仿宋_GB2312" w:eastAsia="仿宋_GB2312" w:cs="仿宋_GB2312"/>
          <w:sz w:val="24"/>
          <w:szCs w:val="24"/>
        </w:rPr>
        <w:t>工程勘察设计变更管理办法</w:t>
      </w:r>
      <w:r>
        <w:rPr>
          <w:rFonts w:hint="eastAsia" w:ascii="仿宋_GB2312" w:hAnsi="仿宋_GB2312" w:eastAsia="仿宋_GB2312" w:cs="仿宋_GB2312"/>
          <w:sz w:val="24"/>
          <w:szCs w:val="24"/>
          <w:lang w:val="en-US" w:eastAsia="zh-CN"/>
        </w:rPr>
        <w:t>&gt;</w:t>
      </w:r>
      <w:r>
        <w:rPr>
          <w:rFonts w:hint="eastAsia" w:ascii="仿宋_GB2312" w:hAnsi="仿宋_GB2312" w:eastAsia="仿宋_GB2312" w:cs="仿宋_GB2312"/>
          <w:sz w:val="24"/>
          <w:szCs w:val="24"/>
        </w:rPr>
        <w:t>的通知</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佛建管〔2016〕133号</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，对于施工图设计文件实施阶段的勘察设计变更，应由建设单位书面委托原勘察设计单位修改，其他任何单位和个人不得擅自修改。勘察设计单位在出示变更文件</w:t>
      </w:r>
      <w:r>
        <w:rPr>
          <w:rFonts w:hint="eastAsia" w:ascii="仿宋_GB2312" w:hAnsi="仿宋_GB2312" w:eastAsia="仿宋_GB2312" w:cs="仿宋_GB2312"/>
          <w:sz w:val="24"/>
          <w:szCs w:val="24"/>
          <w:lang w:val="en-US" w:eastAsia="zh-CN"/>
        </w:rPr>
        <w:t>时，应在文件中注明该变更是“重大变更”或“一般变更”。</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0"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涉及规划、消防、人防、市政公</w:t>
      </w:r>
      <w:r>
        <w:rPr>
          <w:rFonts w:hint="eastAsia" w:ascii="仿宋_GB2312" w:hAnsi="仿宋_GB2312" w:eastAsia="仿宋_GB2312" w:cs="仿宋_GB2312"/>
          <w:sz w:val="24"/>
          <w:szCs w:val="24"/>
        </w:rPr>
        <w:t>用、卫生防疫等行政部门审查内容的变更，应由建设单位重新报审并获批准后方可实施。对已经审查合格的勘察设计文件进行变更时，属于重大变更的，须</w:t>
      </w:r>
      <w:r>
        <w:rPr>
          <w:rFonts w:hint="eastAsia" w:ascii="仿宋_GB2312" w:hAnsi="仿宋_GB2312" w:eastAsia="仿宋_GB2312" w:cs="仿宋_GB2312"/>
          <w:sz w:val="24"/>
          <w:szCs w:val="24"/>
          <w:lang w:val="en-US" w:eastAsia="zh-CN"/>
        </w:rPr>
        <w:t>向原审查机构重新报审，施工图审查合格后方可施工。</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sz w:val="24"/>
          <w:szCs w:val="24"/>
          <w:lang w:val="en-US" w:eastAsia="zh-CN"/>
        </w:rPr>
        <w:t>六、公寓式办公建筑建设。</w:t>
      </w:r>
      <w:r>
        <w:rPr>
          <w:rFonts w:hint="eastAsia" w:ascii="仿宋_GB2312" w:hAnsi="仿宋_GB2312" w:eastAsia="仿宋_GB2312" w:cs="仿宋_GB2312"/>
          <w:sz w:val="24"/>
          <w:szCs w:val="24"/>
          <w:lang w:val="en-US" w:eastAsia="zh-CN"/>
        </w:rPr>
        <w:t>根据《南海区国土城建和水务局关于进一步规范办公建筑规划设计和管理的实施意见》文件精神，未经区政府或有关部门批准，不得建设公寓式办公建筑。</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sz w:val="24"/>
          <w:szCs w:val="24"/>
          <w:lang w:val="en-US" w:eastAsia="zh-CN"/>
        </w:rPr>
        <w:t>七、危险化学品建设工程。</w:t>
      </w:r>
      <w:r>
        <w:rPr>
          <w:rFonts w:hint="eastAsia" w:ascii="仿宋_GB2312" w:hAnsi="仿宋_GB2312" w:eastAsia="仿宋_GB2312" w:cs="仿宋_GB2312"/>
          <w:sz w:val="24"/>
          <w:szCs w:val="24"/>
          <w:lang w:val="en-US" w:eastAsia="zh-CN"/>
        </w:rPr>
        <w:t>根据《广东省人民政府办公厅关于印发广东省危险化学品安全综合治理实施方案的通知》（粤府办〔2017〕11号）规定，如报审项目属于危险化学品建设工程的，应严格按照相关规定及规范执行，建设单位不得弄虚作假，规避审查。</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72" w:firstLineChars="196"/>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sz w:val="24"/>
          <w:szCs w:val="24"/>
          <w:lang w:val="en-US" w:eastAsia="zh-CN"/>
        </w:rPr>
        <w:t>八、其他政策文件。</w:t>
      </w:r>
      <w:r>
        <w:rPr>
          <w:rFonts w:hint="eastAsia" w:ascii="仿宋_GB2312" w:hAnsi="仿宋_GB2312" w:eastAsia="仿宋_GB2312" w:cs="仿宋_GB2312"/>
          <w:sz w:val="24"/>
          <w:szCs w:val="24"/>
          <w:lang w:val="en-US" w:eastAsia="zh-CN"/>
        </w:rPr>
        <w:t>根据《关于印发&lt;佛山市南海区非户籍常住人口子女入读义务教育公办学校试行办法&gt;的通知》（南教基〔2012〕26号）文件精神，在南海区居住且获得住宅房产权证明，住宅建筑面积不低于80平方米的非户籍人士的适龄子女，入读我区公办学校属于政策性借读生。由于产权面积容易受房屋测绘、施工误差等因素影响，为避免日后大规模的学位纠纷，我区商品住宅项目应尽量避免设计77—83平方米（含本数）的户型。</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240" w:lineRule="auto"/>
        <w:ind w:left="0" w:leftChars="0" w:right="0" w:rightChars="0"/>
        <w:jc w:val="both"/>
        <w:textAlignment w:val="auto"/>
        <w:outlineLvl w:val="9"/>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lang w:eastAsia="zh-CN"/>
        </w:rPr>
        <w:t>以上内容已悉知，我公司将严格按照以上规定执行。</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240" w:lineRule="auto"/>
        <w:ind w:left="0" w:leftChars="0" w:right="0" w:rightChars="0"/>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lang w:eastAsia="zh-CN"/>
        </w:rPr>
        <w:t>建设单位项目负责人（签名）：</w:t>
      </w:r>
      <w:r>
        <w:rPr>
          <w:rFonts w:hint="eastAsia" w:ascii="仿宋_GB2312" w:hAnsi="仿宋_GB2312" w:eastAsia="仿宋_GB2312" w:cs="仿宋_GB2312"/>
          <w:sz w:val="24"/>
          <w:szCs w:val="24"/>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240" w:lineRule="auto"/>
        <w:ind w:left="0" w:leftChars="0" w:right="0" w:rightChars="0"/>
        <w:jc w:val="both"/>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建设单位（公章）：                                   XX审图公司（盖公章）</w:t>
      </w:r>
    </w:p>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right="0" w:rightChars="0"/>
        <w:jc w:val="left"/>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2017年X月X日</w:t>
      </w:r>
    </w:p>
    <w:sectPr>
      <w:pgSz w:w="11906" w:h="16838"/>
      <w:pgMar w:top="1134" w:right="1080" w:bottom="1134" w:left="108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Arial Unicode MS">
    <w:panose1 w:val="020B0604020202020204"/>
    <w:charset w:val="86"/>
    <w:family w:val="swiss"/>
    <w:pitch w:val="default"/>
    <w:sig w:usb0="FFFFFFFF" w:usb1="E9FFFFFF"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A59E2"/>
    <w:rsid w:val="000E2291"/>
    <w:rsid w:val="00131A8A"/>
    <w:rsid w:val="00153EA8"/>
    <w:rsid w:val="001C47B8"/>
    <w:rsid w:val="001D0A08"/>
    <w:rsid w:val="00267E09"/>
    <w:rsid w:val="003F134A"/>
    <w:rsid w:val="0043300F"/>
    <w:rsid w:val="005053F0"/>
    <w:rsid w:val="00522275"/>
    <w:rsid w:val="00681CB4"/>
    <w:rsid w:val="007D7AE4"/>
    <w:rsid w:val="00870D7C"/>
    <w:rsid w:val="009E52C6"/>
    <w:rsid w:val="00C6606B"/>
    <w:rsid w:val="00CA4692"/>
    <w:rsid w:val="00DB47D3"/>
    <w:rsid w:val="00DD24FA"/>
    <w:rsid w:val="00EA5BE3"/>
    <w:rsid w:val="00F0318A"/>
    <w:rsid w:val="00FA59E2"/>
    <w:rsid w:val="01140E6F"/>
    <w:rsid w:val="016B21D3"/>
    <w:rsid w:val="0363372E"/>
    <w:rsid w:val="06C20F3B"/>
    <w:rsid w:val="07E978BE"/>
    <w:rsid w:val="07F86009"/>
    <w:rsid w:val="0CE63DFA"/>
    <w:rsid w:val="1088399D"/>
    <w:rsid w:val="18B8101E"/>
    <w:rsid w:val="1DC3351A"/>
    <w:rsid w:val="1ED21187"/>
    <w:rsid w:val="22574501"/>
    <w:rsid w:val="250A5271"/>
    <w:rsid w:val="25BE3A52"/>
    <w:rsid w:val="285E3DC0"/>
    <w:rsid w:val="29321E28"/>
    <w:rsid w:val="2B0F31D9"/>
    <w:rsid w:val="2D1F1BC4"/>
    <w:rsid w:val="31FC4391"/>
    <w:rsid w:val="32EB70F1"/>
    <w:rsid w:val="368F2406"/>
    <w:rsid w:val="3CC641D8"/>
    <w:rsid w:val="3E922162"/>
    <w:rsid w:val="3F2333C9"/>
    <w:rsid w:val="416A256D"/>
    <w:rsid w:val="45737B57"/>
    <w:rsid w:val="45B10A7D"/>
    <w:rsid w:val="486816CF"/>
    <w:rsid w:val="4A0627DA"/>
    <w:rsid w:val="4B0D312A"/>
    <w:rsid w:val="4DFA2BFE"/>
    <w:rsid w:val="4E070AB2"/>
    <w:rsid w:val="4F754507"/>
    <w:rsid w:val="50BC72C2"/>
    <w:rsid w:val="51D55D4C"/>
    <w:rsid w:val="556D7814"/>
    <w:rsid w:val="55ED685A"/>
    <w:rsid w:val="57A60EA8"/>
    <w:rsid w:val="59997976"/>
    <w:rsid w:val="5AA61AA9"/>
    <w:rsid w:val="5B9A5363"/>
    <w:rsid w:val="5BD2214C"/>
    <w:rsid w:val="5E131F77"/>
    <w:rsid w:val="5E4C0A50"/>
    <w:rsid w:val="611D5802"/>
    <w:rsid w:val="62DB4654"/>
    <w:rsid w:val="639C0386"/>
    <w:rsid w:val="66007634"/>
    <w:rsid w:val="667227D9"/>
    <w:rsid w:val="67091071"/>
    <w:rsid w:val="68EA39AB"/>
    <w:rsid w:val="6ABC620C"/>
    <w:rsid w:val="6CAF4DA4"/>
    <w:rsid w:val="6E0B72CA"/>
    <w:rsid w:val="6E100F53"/>
    <w:rsid w:val="6E2750D8"/>
    <w:rsid w:val="6EC41FFA"/>
    <w:rsid w:val="73AB085C"/>
    <w:rsid w:val="7562110C"/>
    <w:rsid w:val="78BE3DA2"/>
    <w:rsid w:val="79362FA6"/>
    <w:rsid w:val="79887AA1"/>
    <w:rsid w:val="7BBE2ECE"/>
    <w:rsid w:val="7CB40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qFormat/>
    <w:uiPriority w:val="99"/>
    <w:rPr>
      <w:sz w:val="18"/>
      <w:szCs w:val="18"/>
    </w:rPr>
  </w:style>
  <w:style w:type="character" w:customStyle="1" w:styleId="7">
    <w:name w:val="页脚 Char"/>
    <w:basedOn w:val="4"/>
    <w:link w:val="2"/>
    <w:qFormat/>
    <w:uiPriority w:val="99"/>
    <w:rPr>
      <w:sz w:val="18"/>
      <w:szCs w:val="18"/>
    </w:rPr>
  </w:style>
  <w:style w:type="paragraph" w:customStyle="1"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389</Characters>
  <Lines>3</Lines>
  <Paragraphs>1</Paragraphs>
  <ScaleCrop>false</ScaleCrop>
  <LinksUpToDate>false</LinksUpToDate>
  <CharactersWithSpaces>456</CharactersWithSpaces>
  <Application>WPS Office_10.1.0.6690_F1E327BC-269C-435d-A152-05C5408002CA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2017-03-01T06:19:00Z</dcterms:created>
  <dc:creator>PC</dc:creator>
  <cp:lastModifiedBy>设计科技科</cp:lastModifiedBy>
  <cp:lastPrinted>2017-08-16T00:44:00Z</cp:lastPrinted>
  <dcterms:modified xsi:type="dcterms:W3CDTF">2017-08-16T01:29:08Z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2052-10.1.0.6690</vt:lpwstr>
  </property>
</Properties>
</file>