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pStyle w:val="4"/>
        <w:spacing w:line="560" w:lineRule="exact"/>
        <w:jc w:val="center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房屋建筑工程电气火灾综合治理检查表</w:t>
      </w:r>
    </w:p>
    <w:p>
      <w:pPr>
        <w:pStyle w:val="4"/>
        <w:spacing w:line="560" w:lineRule="exact"/>
        <w:jc w:val="center"/>
        <w:rPr>
          <w:rFonts w:hint="eastAsia" w:ascii="方正小标宋简体" w:hAnsi="黑体" w:eastAsia="方正小标宋简体"/>
          <w:sz w:val="44"/>
          <w:szCs w:val="44"/>
        </w:rPr>
      </w:pPr>
    </w:p>
    <w:tbl>
      <w:tblPr>
        <w:tblStyle w:val="3"/>
        <w:tblW w:w="9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4583"/>
        <w:gridCol w:w="1682"/>
        <w:gridCol w:w="1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黑体" w:hAnsi="黑体" w:eastAsia="黑体" w:cs="宋体"/>
                <w:kern w:val="0"/>
              </w:rPr>
            </w:pPr>
            <w:r>
              <w:rPr>
                <w:rFonts w:hint="eastAsia" w:ascii="黑体" w:hAnsi="黑体" w:eastAsia="黑体" w:cs="宋体"/>
                <w:kern w:val="0"/>
              </w:rPr>
              <w:t>项目</w:t>
            </w:r>
          </w:p>
        </w:tc>
        <w:tc>
          <w:tcPr>
            <w:tcW w:w="4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黑体" w:hAnsi="黑体" w:eastAsia="黑体" w:cs="宋体"/>
                <w:kern w:val="0"/>
              </w:rPr>
            </w:pPr>
            <w:r>
              <w:rPr>
                <w:rFonts w:hint="eastAsia" w:ascii="黑体" w:hAnsi="黑体" w:eastAsia="黑体" w:cs="宋体"/>
                <w:kern w:val="0"/>
              </w:rPr>
              <w:t>检查内容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黑体" w:hAnsi="黑体" w:eastAsia="黑体" w:cs="宋体"/>
                <w:kern w:val="0"/>
              </w:rPr>
            </w:pPr>
            <w:r>
              <w:rPr>
                <w:rFonts w:hint="eastAsia" w:ascii="黑体" w:hAnsi="黑体" w:eastAsia="黑体" w:cs="宋体"/>
                <w:kern w:val="0"/>
              </w:rPr>
              <w:t>检查情况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黑体" w:hAnsi="黑体" w:eastAsia="黑体" w:cs="宋体"/>
                <w:kern w:val="0"/>
              </w:rPr>
            </w:pPr>
            <w:r>
              <w:rPr>
                <w:rFonts w:hint="eastAsia" w:ascii="黑体" w:hAnsi="黑体" w:eastAsia="黑体" w:cs="宋体"/>
                <w:kern w:val="0"/>
              </w:rPr>
              <w:t>发现的问题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shd w:val="clear" w:color="auto" w:fill="FFFFFF"/>
              <w:adjustRightInd w:val="0"/>
              <w:snapToGrid w:val="0"/>
              <w:rPr>
                <w:rFonts w:ascii="仿宋_GB2312" w:hAnsi="黑体" w:eastAsia="仿宋_GB2312" w:cs="宋体"/>
                <w:kern w:val="0"/>
              </w:rPr>
            </w:pPr>
            <w:r>
              <w:rPr>
                <w:rFonts w:hint="eastAsia" w:ascii="仿宋_GB2312" w:hAnsi="黑体" w:eastAsia="仿宋_GB2312" w:cs="宋体"/>
                <w:kern w:val="0"/>
              </w:rPr>
              <w:t>一、产品选用和进场</w:t>
            </w:r>
          </w:p>
        </w:tc>
        <w:tc>
          <w:tcPr>
            <w:tcW w:w="4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1.选用的电缆、绝缘导线的材质、标称截面积、绝缘性能、电阻值应符合规范以及设计要求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  <w:jc w:val="center"/>
        </w:trPr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黑体" w:eastAsia="仿宋_GB2312" w:cs="宋体"/>
                <w:kern w:val="0"/>
                <w:szCs w:val="21"/>
              </w:rPr>
            </w:pPr>
          </w:p>
        </w:tc>
        <w:tc>
          <w:tcPr>
            <w:tcW w:w="4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2.线缆应按《建筑电气工程施工质量验收规范（GB50303）、《建筑节能工程施工质量验收规范》（GB50411）规定抽检并合格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黑体" w:eastAsia="仿宋_GB2312" w:cs="宋体"/>
                <w:kern w:val="0"/>
                <w:szCs w:val="21"/>
              </w:rPr>
            </w:pPr>
          </w:p>
        </w:tc>
        <w:tc>
          <w:tcPr>
            <w:tcW w:w="4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3.实行生产许可证或CCC的产品，应有许可证编号或CCC标志，重点检查低压配电柜、配电箱、控制箱（柜）、线缆、母线、开关、插座、照明灯具等产品的CCC标志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  <w:jc w:val="center"/>
        </w:trPr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shd w:val="clear" w:color="auto" w:fill="FFFFFF"/>
              <w:adjustRightInd w:val="0"/>
              <w:snapToGrid w:val="0"/>
              <w:rPr>
                <w:rFonts w:ascii="仿宋_GB2312" w:hAnsi="黑体" w:eastAsia="仿宋_GB2312" w:cs="宋体"/>
                <w:kern w:val="0"/>
              </w:rPr>
            </w:pPr>
            <w:r>
              <w:rPr>
                <w:rFonts w:hint="eastAsia" w:ascii="仿宋_GB2312" w:hAnsi="黑体" w:eastAsia="仿宋_GB2312" w:cs="宋体"/>
                <w:kern w:val="0"/>
              </w:rPr>
              <w:t>一、产品选用和进场</w:t>
            </w:r>
          </w:p>
        </w:tc>
        <w:tc>
          <w:tcPr>
            <w:tcW w:w="4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4.所有电气设备、器具和材料应有出厂合格证，重点检查槽盒、配电箱柜、线缆、母线、开关、插座、照明灯具的产品出厂合格证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黑体" w:eastAsia="仿宋_GB2312" w:cs="宋体"/>
                <w:kern w:val="0"/>
                <w:szCs w:val="21"/>
              </w:rPr>
            </w:pPr>
          </w:p>
        </w:tc>
        <w:tc>
          <w:tcPr>
            <w:tcW w:w="4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5.电线导管进场应按规定抽查并合格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shd w:val="clear" w:color="auto" w:fill="FFFFFF"/>
              <w:adjustRightInd w:val="0"/>
              <w:snapToGrid w:val="0"/>
              <w:rPr>
                <w:rFonts w:ascii="仿宋_GB2312" w:hAnsi="黑体" w:eastAsia="仿宋_GB2312" w:cs="宋体"/>
                <w:kern w:val="0"/>
              </w:rPr>
            </w:pPr>
            <w:r>
              <w:rPr>
                <w:rFonts w:hint="eastAsia" w:ascii="仿宋_GB2312" w:hAnsi="黑体" w:eastAsia="仿宋_GB2312" w:cs="宋体"/>
                <w:kern w:val="0"/>
              </w:rPr>
              <w:t>二、施工过程</w:t>
            </w:r>
          </w:p>
        </w:tc>
        <w:tc>
          <w:tcPr>
            <w:tcW w:w="4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6.每个设备或器具的端子接线不多于2根导线或2个导线端子。导线连接应在接线盒内，多股线线头连接应牢固可靠，铜铝过渡应使用专用铜铝过渡接头或搪锡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黑体" w:eastAsia="仿宋_GB2312" w:cs="宋体"/>
                <w:kern w:val="0"/>
                <w:szCs w:val="21"/>
              </w:rPr>
            </w:pPr>
          </w:p>
        </w:tc>
        <w:tc>
          <w:tcPr>
            <w:tcW w:w="4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7.电缆出入配电柜应采取保护措施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  <w:bookmarkStart w:id="0" w:name="_GoBack"/>
            <w:bookmarkEnd w:id="0"/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黑体" w:eastAsia="仿宋_GB2312" w:cs="宋体"/>
                <w:kern w:val="0"/>
                <w:szCs w:val="21"/>
              </w:rPr>
            </w:pPr>
          </w:p>
        </w:tc>
        <w:tc>
          <w:tcPr>
            <w:tcW w:w="4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8.电缆出入梯架、托盘、槽盒应固定牢靠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  <w:jc w:val="center"/>
        </w:trPr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黑体" w:eastAsia="仿宋_GB2312" w:cs="宋体"/>
                <w:kern w:val="0"/>
                <w:szCs w:val="21"/>
              </w:rPr>
            </w:pPr>
          </w:p>
        </w:tc>
        <w:tc>
          <w:tcPr>
            <w:tcW w:w="4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9.塑料护套线应明敷，不应直接敷设在顶棚内、保温层内或可燃装饰面内，配线回路的绝缘电阻测试应符合要求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  <w:jc w:val="center"/>
        </w:trPr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shd w:val="clear" w:color="auto" w:fill="FFFFFF"/>
              <w:adjustRightInd w:val="0"/>
              <w:snapToGrid w:val="0"/>
              <w:rPr>
                <w:rFonts w:ascii="仿宋_GB2312" w:hAnsi="黑体" w:eastAsia="仿宋_GB2312" w:cs="宋体"/>
                <w:kern w:val="0"/>
              </w:rPr>
            </w:pPr>
            <w:r>
              <w:rPr>
                <w:rFonts w:hint="eastAsia" w:ascii="仿宋_GB2312" w:hAnsi="黑体" w:eastAsia="仿宋_GB2312" w:cs="宋体"/>
                <w:kern w:val="0"/>
              </w:rPr>
              <w:t>二、施工过程</w:t>
            </w:r>
          </w:p>
        </w:tc>
        <w:tc>
          <w:tcPr>
            <w:tcW w:w="4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10.敷设在电气竖井内穿楼板处和穿越不同防火分区的梯架、托盘和槽盒（含槽盒内）应有防火封堵措施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黑体" w:eastAsia="仿宋_GB2312" w:cs="宋体"/>
                <w:kern w:val="0"/>
                <w:szCs w:val="21"/>
              </w:rPr>
            </w:pPr>
          </w:p>
        </w:tc>
        <w:tc>
          <w:tcPr>
            <w:tcW w:w="4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11.灯具表面及其附件的高温部位靠近可燃物时应采取隔热、散热等防火保护措施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黑体" w:eastAsia="仿宋_GB2312" w:cs="宋体"/>
                <w:kern w:val="0"/>
                <w:szCs w:val="21"/>
              </w:rPr>
            </w:pPr>
          </w:p>
        </w:tc>
        <w:tc>
          <w:tcPr>
            <w:tcW w:w="4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12.功率在100W及以上非敞开式灯具的引入线应采用瓷管、矿棉等不燃材料做隔热保护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  <w:jc w:val="center"/>
        </w:trPr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rPr>
                <w:rFonts w:ascii="仿宋_GB2312" w:hAnsi="黑体" w:eastAsia="仿宋_GB2312" w:cs="宋体"/>
                <w:kern w:val="0"/>
              </w:rPr>
            </w:pPr>
          </w:p>
        </w:tc>
        <w:tc>
          <w:tcPr>
            <w:tcW w:w="4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13.安装在软包、木质材料上的暗装插座盒或开关盒应与饰面平齐，安装应牢固，绝缘导线不应裸露在装饰层内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黑体" w:eastAsia="仿宋_GB2312" w:cs="宋体"/>
                <w:kern w:val="0"/>
                <w:szCs w:val="21"/>
              </w:rPr>
            </w:pPr>
          </w:p>
        </w:tc>
        <w:tc>
          <w:tcPr>
            <w:tcW w:w="4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14.安装在燃烧性能等级为B1级以下装修材料内的开关、插座等，必须采用防火封堵密封件或燃烧性能等级为A级的材料（例如：石棉垫）隔绝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黑体" w:eastAsia="仿宋_GB2312" w:cs="宋体"/>
                <w:kern w:val="0"/>
                <w:szCs w:val="21"/>
              </w:rPr>
            </w:pPr>
          </w:p>
        </w:tc>
        <w:tc>
          <w:tcPr>
            <w:tcW w:w="4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15.断路器保护开关额定容量应与配电线路载流量相匹配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黑体" w:eastAsia="仿宋_GB2312" w:cs="宋体"/>
                <w:kern w:val="0"/>
                <w:szCs w:val="21"/>
              </w:rPr>
            </w:pPr>
          </w:p>
        </w:tc>
        <w:tc>
          <w:tcPr>
            <w:tcW w:w="4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16.固定安装的中央空调、电加热设备等大功率用电器具实际功率应与设计相符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  <w:jc w:val="center"/>
        </w:trPr>
        <w:tc>
          <w:tcPr>
            <w:tcW w:w="14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shd w:val="clear" w:color="auto" w:fill="FFFFFF"/>
              <w:adjustRightInd w:val="0"/>
              <w:snapToGrid w:val="0"/>
              <w:rPr>
                <w:rFonts w:ascii="仿宋_GB2312" w:hAnsi="黑体" w:eastAsia="仿宋_GB2312" w:cs="宋体"/>
                <w:kern w:val="0"/>
              </w:rPr>
            </w:pPr>
            <w:r>
              <w:rPr>
                <w:rFonts w:hint="eastAsia" w:ascii="仿宋_GB2312" w:hAnsi="黑体" w:eastAsia="仿宋_GB2312" w:cs="宋体"/>
                <w:kern w:val="0"/>
              </w:rPr>
              <w:t>三、施工管理</w:t>
            </w:r>
          </w:p>
        </w:tc>
        <w:tc>
          <w:tcPr>
            <w:tcW w:w="4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17.施工单位安装电工、焊工、电力系统调试人员应持证上岗，并按照作业规程组织施工，做好记录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  <w:jc w:val="center"/>
        </w:trPr>
        <w:tc>
          <w:tcPr>
            <w:tcW w:w="1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黑体" w:eastAsia="仿宋_GB2312" w:cs="宋体"/>
                <w:kern w:val="0"/>
                <w:szCs w:val="21"/>
              </w:rPr>
            </w:pPr>
          </w:p>
        </w:tc>
        <w:tc>
          <w:tcPr>
            <w:tcW w:w="4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18.监理单位应有建筑电气工程专项监理方案，重点节点监理过程应有监理工作记录，并与工程进度相符合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1D3FD9"/>
    <w:rsid w:val="03141392"/>
    <w:rsid w:val="041D3FD9"/>
    <w:rsid w:val="1EA4207A"/>
    <w:rsid w:val="26E60C72"/>
    <w:rsid w:val="4B2258B6"/>
    <w:rsid w:val="504A62C5"/>
    <w:rsid w:val="54D316E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New New New New New New New New New New New New New New New New New New New New New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5">
    <w:name w:val="正文 New New New New New New New New New New New New New New New New New New New New New New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2017-12-18T07:55:00Z</dcterms:created>
  <dc:creator>李伟煊</dc:creator>
  <cp:lastModifiedBy>李伟煊</cp:lastModifiedBy>
  <dcterms:modified xsi:type="dcterms:W3CDTF">2018-06-07T07:32:12Z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