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20408" w:rsidRDefault="00520408" w:rsidP="00520408">
      <w:pPr>
        <w:jc w:val="center"/>
        <w:rPr>
          <w:rFonts w:ascii="ˎ̥" w:hAnsi="ˎ̥" w:hint="eastAsia"/>
          <w:b/>
          <w:color w:val="000000"/>
          <w:sz w:val="32"/>
          <w:szCs w:val="32"/>
        </w:rPr>
      </w:pPr>
      <w:r w:rsidRPr="00520408">
        <w:rPr>
          <w:rFonts w:ascii="ˎ̥" w:hAnsi="ˎ̥"/>
          <w:b/>
          <w:color w:val="000000"/>
          <w:sz w:val="32"/>
          <w:szCs w:val="32"/>
        </w:rPr>
        <w:t>佛山市南海区住房城乡建设和水利局关于规范农村集体建设用地项目招商中心现场信息公开公示工作的通知</w:t>
      </w:r>
    </w:p>
    <w:p w:rsidR="00520408" w:rsidRDefault="00520408">
      <w:pPr>
        <w:rPr>
          <w:rFonts w:ascii="ˎ̥" w:hAnsi="ˎ̥" w:hint="eastAsia"/>
          <w:color w:val="000000"/>
          <w:sz w:val="19"/>
          <w:szCs w:val="19"/>
        </w:rPr>
      </w:pPr>
    </w:p>
    <w:p w:rsidR="00520408" w:rsidRPr="00520408" w:rsidRDefault="00520408" w:rsidP="00520408">
      <w:pPr>
        <w:spacing w:line="360" w:lineRule="auto"/>
        <w:jc w:val="center"/>
        <w:rPr>
          <w:rFonts w:asciiTheme="minorEastAsia" w:hAnsiTheme="minorEastAsia"/>
          <w:sz w:val="24"/>
          <w:szCs w:val="24"/>
        </w:rPr>
      </w:pPr>
      <w:r w:rsidRPr="00520408">
        <w:rPr>
          <w:rFonts w:asciiTheme="minorEastAsia" w:hAnsiTheme="minorEastAsia" w:hint="eastAsia"/>
          <w:sz w:val="24"/>
          <w:szCs w:val="24"/>
        </w:rPr>
        <w:t>南建水函〔2019〕147号</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sz w:val="24"/>
          <w:szCs w:val="24"/>
        </w:rPr>
        <w:t> </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各镇人民政府、街道办事处，区自然资源分局、区农业农村局、区城市管理和综合执法局、区市场监督管理局，各开发单位、房产中介单位，各有关单位：</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为规范农村集体建设用地项目开发单位招商行为，减少农村集体建设用地项目开发单位与投资者双方因信息不对称引发的各类矛盾纠纷，加强我区对各镇（街道）农村集体建设用地项目招商过程中监管指导，落实《佛山市南海区人民政府办公室关于印发预防和化解房地产领域矛盾纠纷维护和促进房地产市场健康发展专项工作方案的通知》（南府办函〔2017〕249号）文件精神，结合我区实际情况，现就规范我区农村集体建设用地项目招商中心现场信息公开公示工作通知如下：</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一、适用范围</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本通知适用于我区正在招商的农村集体建设用地项目（农村集体经营性建设用地产业载体项目除外）信息公开公示。农村集体经营性建设用地产业载体项目（又称“入市试点项目”）参照商品房销售现场信息公开公示要求管理。</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二、公示内容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  农村集体建设用地项目开发单位招商时，应在招商中心现场公开公示以下信息：</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（一）土地使用权租赁（出让）合同、土地开发监管协议、补充协议；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（二）土地使用权证；</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（三）开发单位营业执照；</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（四）招商的单位工程的《建设工程规划许可证》、《建筑工程施工许可证》；</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（五）土地使用规划设计要点；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（六）经规划核准的规划总平面图;</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（七）农村集体建设用地房屋出租（物业使用权转让）知情书；</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（八）可能影响使用的公共配套设施因素内容；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lastRenderedPageBreak/>
        <w:t>（九）开发单位与房地产经纪（分支）机构签订的委托书、佛山市房地产经纪（分支）机构经行政主管部门备案证书（委托房地产经纪机构招商的项目）；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（十）租金及相关费用价目表、室内装修标准和价格（提供装修服务的项目）；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（十一）开发单位与土地所有权人关于租金共管账户管理有关情况说明（开发单位与土地所有权人设置租金共管帐户的项目）；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（十二）开发单位现场招商人员和房地产经纪机构现场招商人员相关信息；</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（十三）关于注意农村集体建设用地项目投资风险识别和提示牌（提示牌尺寸1.6米*1.0米，由项目开发单位制作并在招商中心显眼位置上墙公示）；</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（十四）物业租赁合同范本（物业使用权转让合同范本）及附件；</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（十五）装修公司营业执照和装修合同范本及相关附件，受委托经营管理单位营业执照和委托经营合同范本及相关附件（提供装修服务和委托经营管理服务的项目）；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（十六）广东省企业基本建设投资项目备案证；</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（十七）项目命名批复；</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（十八）《白蚁防治合同》；</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（十九）项目单位工程（预）测绘报告；</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（二十）相关职能部门要求公示的其他材料；</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（二十一）经规划核准的单位工程的各层平面图（用于确定每层每个房间的规划使用功能）。</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三、可能影响使用的公共配套设施因素内容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开发单位应当公开公示项目可能影响使用的公共配套设施因素内容，并把相关内容写入农村集体建设用地房屋出租（物业使用权转让）知情书内：</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（一）项目红线内的公共配套用房位置包括但不限于物业用房、电房、垃圾池、化粪池、水泵房、燃气调压站、风机房、发电机房等。</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（二）项目周边红线外（约1000米内）的不利因素设置位置，包括但不限于道路、高压线、公交站、停车位（场）、池塘、信号塔、市场、学校、医疗机构、加油站、地铁站等设置。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（三）开发单位认为其他需要公开公示的内容。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四、公开公示期限</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自招商之日起至招商完毕。</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五、相关标准</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（一）公开公示内容应当遵循真实、准确、有效原则。采用</w:t>
      </w:r>
      <w:r w:rsidRPr="00520408">
        <w:rPr>
          <w:rFonts w:asciiTheme="minorEastAsia" w:hAnsiTheme="minorEastAsia" w:cs="Calibri"/>
          <w:sz w:val="24"/>
          <w:szCs w:val="24"/>
        </w:rPr>
        <w:t>“</w:t>
      </w:r>
      <w:r w:rsidRPr="00520408">
        <w:rPr>
          <w:rFonts w:asciiTheme="minorEastAsia" w:hAnsiTheme="minorEastAsia" w:hint="eastAsia"/>
          <w:sz w:val="24"/>
          <w:szCs w:val="24"/>
        </w:rPr>
        <w:t>公开公示栏</w:t>
      </w:r>
      <w:r w:rsidRPr="00520408">
        <w:rPr>
          <w:rFonts w:asciiTheme="minorEastAsia" w:hAnsiTheme="minorEastAsia" w:cs="Calibri"/>
          <w:sz w:val="24"/>
          <w:szCs w:val="24"/>
        </w:rPr>
        <w:t>”</w:t>
      </w:r>
      <w:r w:rsidRPr="00520408">
        <w:rPr>
          <w:rFonts w:asciiTheme="minorEastAsia" w:hAnsiTheme="minorEastAsia" w:hint="eastAsia"/>
          <w:sz w:val="24"/>
          <w:szCs w:val="24"/>
        </w:rPr>
        <w:t>和</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方式进行公开公示，均应设置在招商中心现场醒目位置，公开公示内容中第一至十三项内容必须上墙。</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摆放在公开公示台上，有条件的可同时采用电子信息屏或电脑查询等方式进行辅助公开公示。</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（二）上述公开公示内容中第一至十一项内容应在</w:t>
      </w:r>
      <w:r w:rsidRPr="00520408">
        <w:rPr>
          <w:rFonts w:asciiTheme="minorEastAsia" w:hAnsiTheme="minorEastAsia" w:cs="Calibri"/>
          <w:sz w:val="24"/>
          <w:szCs w:val="24"/>
        </w:rPr>
        <w:t>“</w:t>
      </w:r>
      <w:r w:rsidRPr="00520408">
        <w:rPr>
          <w:rFonts w:asciiTheme="minorEastAsia" w:hAnsiTheme="minorEastAsia" w:hint="eastAsia"/>
          <w:sz w:val="24"/>
          <w:szCs w:val="24"/>
        </w:rPr>
        <w:t>公开公示栏</w:t>
      </w:r>
      <w:r w:rsidRPr="00520408">
        <w:rPr>
          <w:rFonts w:asciiTheme="minorEastAsia" w:hAnsiTheme="minorEastAsia" w:cs="Calibri"/>
          <w:sz w:val="24"/>
          <w:szCs w:val="24"/>
        </w:rPr>
        <w:t>”</w:t>
      </w:r>
      <w:r w:rsidRPr="00520408">
        <w:rPr>
          <w:rFonts w:asciiTheme="minorEastAsia" w:hAnsiTheme="minorEastAsia" w:hint="eastAsia"/>
          <w:sz w:val="24"/>
          <w:szCs w:val="24"/>
        </w:rPr>
        <w:t>内进行公示，当公示材料为多页文件时（如土地使用权租赁（出让）合同）可叠成</w:t>
      </w:r>
      <w:r w:rsidRPr="00520408">
        <w:rPr>
          <w:rFonts w:asciiTheme="minorEastAsia" w:hAnsiTheme="minorEastAsia" w:cs="Calibri"/>
          <w:sz w:val="24"/>
          <w:szCs w:val="24"/>
        </w:rPr>
        <w:t>“</w:t>
      </w:r>
      <w:r w:rsidRPr="00520408">
        <w:rPr>
          <w:rFonts w:asciiTheme="minorEastAsia" w:hAnsiTheme="minorEastAsia" w:hint="eastAsia"/>
          <w:sz w:val="24"/>
          <w:szCs w:val="24"/>
        </w:rPr>
        <w:t>书本</w:t>
      </w:r>
      <w:r w:rsidRPr="00520408">
        <w:rPr>
          <w:rFonts w:asciiTheme="minorEastAsia" w:hAnsiTheme="minorEastAsia" w:cs="Calibri"/>
          <w:sz w:val="24"/>
          <w:szCs w:val="24"/>
        </w:rPr>
        <w:t>”</w:t>
      </w:r>
      <w:r w:rsidRPr="00520408">
        <w:rPr>
          <w:rFonts w:asciiTheme="minorEastAsia" w:hAnsiTheme="minorEastAsia" w:hint="eastAsia"/>
          <w:sz w:val="24"/>
          <w:szCs w:val="24"/>
        </w:rPr>
        <w:t>格式按页码顺序进行公示；第十二项内容可以在</w:t>
      </w:r>
      <w:r w:rsidRPr="00520408">
        <w:rPr>
          <w:rFonts w:asciiTheme="minorEastAsia" w:hAnsiTheme="minorEastAsia" w:cs="Calibri"/>
          <w:sz w:val="24"/>
          <w:szCs w:val="24"/>
        </w:rPr>
        <w:t>“</w:t>
      </w:r>
      <w:r w:rsidRPr="00520408">
        <w:rPr>
          <w:rFonts w:asciiTheme="minorEastAsia" w:hAnsiTheme="minorEastAsia" w:hint="eastAsia"/>
          <w:sz w:val="24"/>
          <w:szCs w:val="24"/>
        </w:rPr>
        <w:t>公开公示栏</w:t>
      </w:r>
      <w:r w:rsidRPr="00520408">
        <w:rPr>
          <w:rFonts w:asciiTheme="minorEastAsia" w:hAnsiTheme="minorEastAsia" w:cs="Calibri"/>
          <w:sz w:val="24"/>
          <w:szCs w:val="24"/>
        </w:rPr>
        <w:t>”</w:t>
      </w:r>
      <w:r w:rsidRPr="00520408">
        <w:rPr>
          <w:rFonts w:asciiTheme="minorEastAsia" w:hAnsiTheme="minorEastAsia" w:hint="eastAsia"/>
          <w:sz w:val="24"/>
          <w:szCs w:val="24"/>
        </w:rPr>
        <w:t>公示或在</w:t>
      </w:r>
      <w:r w:rsidRPr="00520408">
        <w:rPr>
          <w:rFonts w:asciiTheme="minorEastAsia" w:hAnsiTheme="minorEastAsia" w:cs="Calibri"/>
          <w:sz w:val="24"/>
          <w:szCs w:val="24"/>
        </w:rPr>
        <w:t>“</w:t>
      </w:r>
      <w:r w:rsidRPr="00520408">
        <w:rPr>
          <w:rFonts w:asciiTheme="minorEastAsia" w:hAnsiTheme="minorEastAsia" w:hint="eastAsia"/>
          <w:sz w:val="24"/>
          <w:szCs w:val="24"/>
        </w:rPr>
        <w:t>公开公示栏</w:t>
      </w:r>
      <w:r w:rsidRPr="00520408">
        <w:rPr>
          <w:rFonts w:asciiTheme="minorEastAsia" w:hAnsiTheme="minorEastAsia" w:cs="Calibri"/>
          <w:sz w:val="24"/>
          <w:szCs w:val="24"/>
        </w:rPr>
        <w:t>”</w:t>
      </w:r>
      <w:r w:rsidRPr="00520408">
        <w:rPr>
          <w:rFonts w:asciiTheme="minorEastAsia" w:hAnsiTheme="minorEastAsia" w:hint="eastAsia"/>
          <w:sz w:val="24"/>
          <w:szCs w:val="24"/>
        </w:rPr>
        <w:t>附近显眼位置上墙公示；第十三项内容由项目开发单位根据附件2制作并在招商中心显眼位置上墙公示；第十四至二十项内容在</w:t>
      </w:r>
      <w:r w:rsidRPr="00520408">
        <w:rPr>
          <w:rFonts w:asciiTheme="minorEastAsia" w:hAnsiTheme="minorEastAsia" w:cs="Calibri"/>
          <w:sz w:val="24"/>
          <w:szCs w:val="24"/>
        </w:rPr>
        <w:t>“</w:t>
      </w:r>
      <w:r w:rsidRPr="00520408">
        <w:rPr>
          <w:rFonts w:asciiTheme="minorEastAsia" w:hAnsiTheme="minorEastAsia" w:hint="eastAsia"/>
          <w:sz w:val="24"/>
          <w:szCs w:val="24"/>
        </w:rPr>
        <w:t>公开公示薄</w:t>
      </w:r>
      <w:r w:rsidRPr="00520408">
        <w:rPr>
          <w:rFonts w:asciiTheme="minorEastAsia" w:hAnsiTheme="minorEastAsia" w:cs="Calibri"/>
          <w:sz w:val="24"/>
          <w:szCs w:val="24"/>
        </w:rPr>
        <w:t>”</w:t>
      </w:r>
      <w:r w:rsidRPr="00520408">
        <w:rPr>
          <w:rFonts w:asciiTheme="minorEastAsia" w:hAnsiTheme="minorEastAsia" w:hint="eastAsia"/>
          <w:sz w:val="24"/>
          <w:szCs w:val="24"/>
        </w:rPr>
        <w:t>内进行公开公示，第二十一项内容在公示台摆放公示。</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（三）</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应放置在统一标准的公开公示台上，</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尺寸不小于30cm</w:t>
      </w:r>
      <w:r w:rsidRPr="00520408">
        <w:rPr>
          <w:rFonts w:asciiTheme="minorEastAsia" w:hAnsiTheme="minorEastAsia" w:cs="Calibri"/>
          <w:sz w:val="24"/>
          <w:szCs w:val="24"/>
        </w:rPr>
        <w:t>×</w:t>
      </w:r>
      <w:r w:rsidRPr="00520408">
        <w:rPr>
          <w:rFonts w:asciiTheme="minorEastAsia" w:hAnsiTheme="minorEastAsia" w:hint="eastAsia"/>
          <w:sz w:val="24"/>
          <w:szCs w:val="24"/>
        </w:rPr>
        <w:t>42cm，封面标注</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字样，纸张大小为Ａ4纸，首页设公开公示信息目录，内容按目录序号设置。</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（四）开发单位认为需要公开公示的其他信息也应在</w:t>
      </w:r>
      <w:r w:rsidRPr="00520408">
        <w:rPr>
          <w:rFonts w:asciiTheme="minorEastAsia" w:hAnsiTheme="minorEastAsia" w:cs="Calibri"/>
          <w:sz w:val="24"/>
          <w:szCs w:val="24"/>
        </w:rPr>
        <w:t>“</w:t>
      </w:r>
      <w:r w:rsidRPr="00520408">
        <w:rPr>
          <w:rFonts w:asciiTheme="minorEastAsia" w:hAnsiTheme="minorEastAsia" w:hint="eastAsia"/>
          <w:sz w:val="24"/>
          <w:szCs w:val="24"/>
        </w:rPr>
        <w:t>公开公示栏</w:t>
      </w:r>
      <w:r w:rsidRPr="00520408">
        <w:rPr>
          <w:rFonts w:asciiTheme="minorEastAsia" w:hAnsiTheme="minorEastAsia" w:cs="Calibri"/>
          <w:sz w:val="24"/>
          <w:szCs w:val="24"/>
        </w:rPr>
        <w:t>”</w:t>
      </w:r>
      <w:r w:rsidRPr="00520408">
        <w:rPr>
          <w:rFonts w:asciiTheme="minorEastAsia" w:hAnsiTheme="minorEastAsia" w:hint="eastAsia"/>
          <w:sz w:val="24"/>
          <w:szCs w:val="24"/>
        </w:rPr>
        <w:t>或</w:t>
      </w:r>
      <w:r w:rsidRPr="00520408">
        <w:rPr>
          <w:rFonts w:asciiTheme="minorEastAsia" w:hAnsiTheme="minorEastAsia" w:cs="Calibri"/>
          <w:sz w:val="24"/>
          <w:szCs w:val="24"/>
        </w:rPr>
        <w:t>“</w:t>
      </w:r>
      <w:r w:rsidRPr="00520408">
        <w:rPr>
          <w:rFonts w:asciiTheme="minorEastAsia" w:hAnsiTheme="minorEastAsia" w:hint="eastAsia"/>
          <w:sz w:val="24"/>
          <w:szCs w:val="24"/>
        </w:rPr>
        <w:t>公开公示簿</w:t>
      </w:r>
      <w:r w:rsidRPr="00520408">
        <w:rPr>
          <w:rFonts w:asciiTheme="minorEastAsia" w:hAnsiTheme="minorEastAsia" w:cs="Calibri"/>
          <w:sz w:val="24"/>
          <w:szCs w:val="24"/>
        </w:rPr>
        <w:t>”</w:t>
      </w:r>
      <w:r w:rsidRPr="00520408">
        <w:rPr>
          <w:rFonts w:asciiTheme="minorEastAsia" w:hAnsiTheme="minorEastAsia" w:hint="eastAsia"/>
          <w:sz w:val="24"/>
          <w:szCs w:val="24"/>
        </w:rPr>
        <w:t>内一并公开公示。公开公示信息有变化的，应及时更新，保持与实际情况相一致，同时应注明变更调整内容。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（五）开发单位或受委托的经纪公司招商人员信息应上下分开横向排列，统一注明个人信息包括招商人员照片、姓名、所在企业名称和职务。</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六、其他相关要求</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（一）项目位置示意图、沙盘、宣传单等宣传资料的信息内容一致且应当符合相关法律、法规规定，做到真实、准确、合法，不得欺骗或误导投资者。</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（二）招商中心现场公开公示内容违反法律、法规相关规定的，按法律、法规规定进行处理；未按照本通知要求进行公开公示的，约谈企业负责人并责令限期整改，拒不整改的，将记入企业诚信档案并进行公布。</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（三）在我区承接房地产经纪业务的机构及其分支机构，应当自领取营业执照之日起30日内到所在地房管部门办理房地产经纪机构备案手续。</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四）为提前做好农村集体建设用地商服项目监管工作，区自然资源分局每季度第一个月将上季度总平面图设计方案审核批准后的全区农村集体建设用地商服项目相关情况（含但不限于土地用途，占地面积，项目总建筑面积，每个单位工程的用途、层数、建筑面积，项目负责人联系方式等）函告知各镇人民政府、街道办事处及区直各相关职能部门。各镇人民政府、街道办事处及区直各相关职能部门依职责提前介入做好农村集体建设用地商服项目监管工作。</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五）各镇人民政府、街道办事处应定期对辖区范围内农村集体建设用地项目招商中心现场信息公开公示情况和开发单位履行开发监管协议情况进行检查，落实项目监管协议制度，规范农村集体建设用地项目开发单位招商行为，减少信息不对称引发的各类矛盾纠纷，及时发现和制止本区域房地产领域的违法违规行为。区促进房地产业健康发展联席会议办公室定期组织区直各相关职能部门对各镇（街）农村集体建设用地项目进行抽查。</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（六）已有招商中心现场公开公示内容不符合本通知要求的，应在发文之日起15天内完成整改。</w:t>
      </w:r>
    </w:p>
    <w:p w:rsidR="00520408" w:rsidRPr="00520408" w:rsidRDefault="00520408" w:rsidP="00520408">
      <w:pPr>
        <w:spacing w:line="360" w:lineRule="auto"/>
        <w:ind w:firstLineChars="200" w:firstLine="480"/>
        <w:rPr>
          <w:rFonts w:asciiTheme="minorEastAsia" w:hAnsiTheme="minorEastAsia"/>
          <w:sz w:val="24"/>
          <w:szCs w:val="24"/>
        </w:rPr>
      </w:pPr>
      <w:r w:rsidRPr="00520408">
        <w:rPr>
          <w:rFonts w:asciiTheme="minorEastAsia" w:hAnsiTheme="minorEastAsia" w:hint="eastAsia"/>
          <w:sz w:val="24"/>
          <w:szCs w:val="24"/>
        </w:rPr>
        <w:t>（七）本通知自6月16日起执行。</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sz w:val="24"/>
          <w:szCs w:val="24"/>
        </w:rPr>
        <w:t> </w:t>
      </w:r>
    </w:p>
    <w:p w:rsidR="00520408" w:rsidRPr="00520408" w:rsidRDefault="00520408" w:rsidP="00520408">
      <w:pPr>
        <w:spacing w:line="360" w:lineRule="auto"/>
        <w:rPr>
          <w:rFonts w:asciiTheme="minorEastAsia" w:hAnsiTheme="minorEastAsia"/>
          <w:sz w:val="24"/>
          <w:szCs w:val="24"/>
        </w:rPr>
      </w:pPr>
      <w:r>
        <w:rPr>
          <w:rFonts w:asciiTheme="minorEastAsia" w:hAnsiTheme="minorEastAsia" w:hint="eastAsia"/>
          <w:sz w:val="24"/>
          <w:szCs w:val="24"/>
        </w:rPr>
        <w:t xml:space="preserve"> </w:t>
      </w:r>
      <w:r w:rsidRPr="00520408">
        <w:rPr>
          <w:rFonts w:asciiTheme="minorEastAsia" w:hAnsiTheme="minorEastAsia" w:hint="eastAsia"/>
          <w:sz w:val="24"/>
          <w:szCs w:val="24"/>
        </w:rPr>
        <w:t>附件：1.农村集体建设用地房屋出租（物业使用权转让）知</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        情书</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    2.关于注意农村集体建设用地项目投资风险识别和提示</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sz w:val="24"/>
          <w:szCs w:val="24"/>
        </w:rPr>
        <w:t> </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sz w:val="24"/>
          <w:szCs w:val="24"/>
        </w:rPr>
        <w:t> </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sz w:val="24"/>
          <w:szCs w:val="24"/>
        </w:rPr>
        <w:t> </w:t>
      </w:r>
    </w:p>
    <w:p w:rsidR="00520408" w:rsidRPr="00520408" w:rsidRDefault="00520408" w:rsidP="00520408">
      <w:pPr>
        <w:spacing w:line="360" w:lineRule="auto"/>
        <w:rPr>
          <w:rFonts w:asciiTheme="minorEastAsia" w:hAnsiTheme="minorEastAsia"/>
          <w:sz w:val="24"/>
          <w:szCs w:val="24"/>
        </w:rPr>
      </w:pPr>
      <w:r>
        <w:rPr>
          <w:rFonts w:asciiTheme="minorEastAsia" w:hAnsiTheme="minorEastAsia" w:hint="eastAsia"/>
          <w:sz w:val="24"/>
          <w:szCs w:val="24"/>
        </w:rPr>
        <w:t xml:space="preserve">       </w:t>
      </w:r>
      <w:r w:rsidRPr="00520408">
        <w:rPr>
          <w:rFonts w:asciiTheme="minorEastAsia" w:hAnsiTheme="minorEastAsia" w:hint="eastAsia"/>
          <w:sz w:val="24"/>
          <w:szCs w:val="24"/>
        </w:rPr>
        <w:t>               佛山市南海区住房城乡建设和水利局</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                           2019年5月31日</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（联系人：徐伟干，联系电话：86231922）</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sz w:val="24"/>
          <w:szCs w:val="24"/>
        </w:rPr>
        <w:t xml:space="preserve">     </w:t>
      </w:r>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noProof/>
          <w:sz w:val="24"/>
          <w:szCs w:val="24"/>
        </w:rPr>
        <w:drawing>
          <wp:inline distT="0" distB="0" distL="0" distR="0">
            <wp:extent cx="172720" cy="172720"/>
            <wp:effectExtent l="19050" t="0" r="0" b="0"/>
            <wp:docPr id="1" name="图片 1" descr="http://www.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doc.gif"/>
                    <pic:cNvPicPr>
                      <a:picLocks noChangeAspect="1" noChangeArrowheads="1"/>
                    </pic:cNvPicPr>
                  </pic:nvPicPr>
                  <pic:blipFill>
                    <a:blip r:embed="rId6"/>
                    <a:srcRect/>
                    <a:stretch>
                      <a:fillRect/>
                    </a:stretch>
                  </pic:blipFill>
                  <pic:spPr bwMode="auto">
                    <a:xfrm>
                      <a:off x="0" y="0"/>
                      <a:ext cx="172720" cy="172720"/>
                    </a:xfrm>
                    <a:prstGeom prst="rect">
                      <a:avLst/>
                    </a:prstGeom>
                    <a:noFill/>
                    <a:ln w="9525">
                      <a:noFill/>
                      <a:miter lim="800000"/>
                      <a:headEnd/>
                      <a:tailEnd/>
                    </a:ln>
                  </pic:spPr>
                </pic:pic>
              </a:graphicData>
            </a:graphic>
          </wp:inline>
        </w:drawing>
      </w:r>
      <w:hyperlink r:id="rId7" w:tgtFrame="_blank" w:history="1">
        <w:r w:rsidRPr="00520408">
          <w:rPr>
            <w:rStyle w:val="a5"/>
            <w:rFonts w:asciiTheme="minorEastAsia" w:hAnsiTheme="minorEastAsia"/>
            <w:sz w:val="24"/>
            <w:szCs w:val="24"/>
          </w:rPr>
          <w:t>附件1：农村集体经营性建设用地房屋出租（物业使用权转让）知情书.doc</w:t>
        </w:r>
      </w:hyperlink>
    </w:p>
    <w:p w:rsidR="00520408" w:rsidRPr="00520408" w:rsidRDefault="00520408" w:rsidP="00520408">
      <w:pPr>
        <w:spacing w:line="360" w:lineRule="auto"/>
        <w:rPr>
          <w:rFonts w:asciiTheme="minorEastAsia" w:hAnsiTheme="minorEastAsia"/>
          <w:sz w:val="24"/>
          <w:szCs w:val="24"/>
        </w:rPr>
      </w:pPr>
      <w:r w:rsidRPr="00520408">
        <w:rPr>
          <w:rFonts w:asciiTheme="minorEastAsia" w:hAnsiTheme="minorEastAsia" w:hint="eastAsia"/>
          <w:noProof/>
          <w:sz w:val="24"/>
          <w:szCs w:val="24"/>
        </w:rPr>
        <w:drawing>
          <wp:inline distT="0" distB="0" distL="0" distR="0">
            <wp:extent cx="172720" cy="172720"/>
            <wp:effectExtent l="19050" t="0" r="0" b="0"/>
            <wp:docPr id="2" name="图片 2" descr="http://www.nanhai.gov.cn/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zip.gif"/>
                    <pic:cNvPicPr>
                      <a:picLocks noChangeAspect="1" noChangeArrowheads="1"/>
                    </pic:cNvPicPr>
                  </pic:nvPicPr>
                  <pic:blipFill>
                    <a:blip r:embed="rId8"/>
                    <a:srcRect/>
                    <a:stretch>
                      <a:fillRect/>
                    </a:stretch>
                  </pic:blipFill>
                  <pic:spPr bwMode="auto">
                    <a:xfrm>
                      <a:off x="0" y="0"/>
                      <a:ext cx="172720" cy="172720"/>
                    </a:xfrm>
                    <a:prstGeom prst="rect">
                      <a:avLst/>
                    </a:prstGeom>
                    <a:noFill/>
                    <a:ln w="9525">
                      <a:noFill/>
                      <a:miter lim="800000"/>
                      <a:headEnd/>
                      <a:tailEnd/>
                    </a:ln>
                  </pic:spPr>
                </pic:pic>
              </a:graphicData>
            </a:graphic>
          </wp:inline>
        </w:drawing>
      </w:r>
      <w:hyperlink r:id="rId9" w:tgtFrame="_blank" w:history="1">
        <w:r w:rsidRPr="00520408">
          <w:rPr>
            <w:rStyle w:val="a5"/>
            <w:rFonts w:asciiTheme="minorEastAsia" w:hAnsiTheme="minorEastAsia"/>
            <w:sz w:val="24"/>
            <w:szCs w:val="24"/>
          </w:rPr>
          <w:t>附件2：关于注意农村集体建设用地项目投资风险识别和提示.zip</w:t>
        </w:r>
      </w:hyperlink>
    </w:p>
    <w:p w:rsidR="00520408" w:rsidRPr="00520408" w:rsidRDefault="00520408"/>
    <w:sectPr w:rsidR="00520408" w:rsidRPr="0052040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6134F" w:rsidRDefault="00E6134F" w:rsidP="00520408">
      <w:r>
        <w:separator/>
      </w:r>
    </w:p>
  </w:endnote>
  <w:endnote w:type="continuationSeparator" w:id="1">
    <w:p w:rsidR="00E6134F" w:rsidRDefault="00E6134F" w:rsidP="0052040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6134F" w:rsidRDefault="00E6134F" w:rsidP="00520408">
      <w:r>
        <w:separator/>
      </w:r>
    </w:p>
  </w:footnote>
  <w:footnote w:type="continuationSeparator" w:id="1">
    <w:p w:rsidR="00E6134F" w:rsidRDefault="00E6134F" w:rsidP="0052040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0408"/>
    <w:rsid w:val="00520408"/>
    <w:rsid w:val="00E6134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2040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20408"/>
    <w:rPr>
      <w:sz w:val="18"/>
      <w:szCs w:val="18"/>
    </w:rPr>
  </w:style>
  <w:style w:type="paragraph" w:styleId="a4">
    <w:name w:val="footer"/>
    <w:basedOn w:val="a"/>
    <w:link w:val="Char0"/>
    <w:uiPriority w:val="99"/>
    <w:semiHidden/>
    <w:unhideWhenUsed/>
    <w:rsid w:val="0052040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20408"/>
    <w:rPr>
      <w:sz w:val="18"/>
      <w:szCs w:val="18"/>
    </w:rPr>
  </w:style>
  <w:style w:type="character" w:styleId="a5">
    <w:name w:val="Hyperlink"/>
    <w:basedOn w:val="a0"/>
    <w:uiPriority w:val="99"/>
    <w:semiHidden/>
    <w:unhideWhenUsed/>
    <w:rsid w:val="00520408"/>
    <w:rPr>
      <w:rFonts w:ascii="ˎ̥" w:hAnsi="ˎ̥" w:hint="default"/>
      <w:strike w:val="0"/>
      <w:dstrike w:val="0"/>
      <w:color w:val="000000"/>
      <w:sz w:val="19"/>
      <w:szCs w:val="19"/>
      <w:u w:val="none"/>
      <w:effect w:val="none"/>
    </w:rPr>
  </w:style>
  <w:style w:type="paragraph" w:styleId="a6">
    <w:name w:val="Normal (Web)"/>
    <w:basedOn w:val="a"/>
    <w:uiPriority w:val="99"/>
    <w:semiHidden/>
    <w:unhideWhenUsed/>
    <w:rsid w:val="00520408"/>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520408"/>
    <w:rPr>
      <w:sz w:val="18"/>
      <w:szCs w:val="18"/>
    </w:rPr>
  </w:style>
  <w:style w:type="character" w:customStyle="1" w:styleId="Char1">
    <w:name w:val="批注框文本 Char"/>
    <w:basedOn w:val="a0"/>
    <w:link w:val="a7"/>
    <w:uiPriority w:val="99"/>
    <w:semiHidden/>
    <w:rsid w:val="00520408"/>
    <w:rPr>
      <w:sz w:val="18"/>
      <w:szCs w:val="18"/>
    </w:rPr>
  </w:style>
</w:styles>
</file>

<file path=word/webSettings.xml><?xml version="1.0" encoding="utf-8"?>
<w:webSettings xmlns:r="http://schemas.openxmlformats.org/officeDocument/2006/relationships" xmlns:w="http://schemas.openxmlformats.org/wordprocessingml/2006/main">
  <w:divs>
    <w:div w:id="1947807073">
      <w:bodyDiv w:val="1"/>
      <w:marLeft w:val="0"/>
      <w:marRight w:val="0"/>
      <w:marTop w:val="0"/>
      <w:marBottom w:val="0"/>
      <w:divBdr>
        <w:top w:val="none" w:sz="0" w:space="0" w:color="auto"/>
        <w:left w:val="none" w:sz="0" w:space="0" w:color="auto"/>
        <w:bottom w:val="none" w:sz="0" w:space="0" w:color="auto"/>
        <w:right w:val="none" w:sz="0" w:space="0" w:color="auto"/>
      </w:divBdr>
      <w:divsChild>
        <w:div w:id="1239634419">
          <w:marLeft w:val="0"/>
          <w:marRight w:val="0"/>
          <w:marTop w:val="0"/>
          <w:marBottom w:val="0"/>
          <w:divBdr>
            <w:top w:val="none" w:sz="0" w:space="0" w:color="auto"/>
            <w:left w:val="none" w:sz="0" w:space="0" w:color="auto"/>
            <w:bottom w:val="none" w:sz="0" w:space="0" w:color="auto"/>
            <w:right w:val="none" w:sz="0" w:space="0" w:color="auto"/>
          </w:divBdr>
          <w:divsChild>
            <w:div w:id="24869668">
              <w:marLeft w:val="0"/>
              <w:marRight w:val="0"/>
              <w:marTop w:val="0"/>
              <w:marBottom w:val="0"/>
              <w:divBdr>
                <w:top w:val="none" w:sz="0" w:space="0" w:color="auto"/>
                <w:left w:val="none" w:sz="0" w:space="0" w:color="auto"/>
                <w:bottom w:val="none" w:sz="0" w:space="0" w:color="auto"/>
                <w:right w:val="none" w:sz="0" w:space="0" w:color="auto"/>
              </w:divBdr>
              <w:divsChild>
                <w:div w:id="211498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hyperlink" Target="http://www.nanhai.gov.cn/cms/html/files/2019-06/04/20190604154737530520066.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cms/html/files/2019-06/04/20190604154752343969056.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476</Words>
  <Characters>2717</Characters>
  <Application>Microsoft Office Word</Application>
  <DocSecurity>0</DocSecurity>
  <Lines>22</Lines>
  <Paragraphs>6</Paragraphs>
  <ScaleCrop>false</ScaleCrop>
  <Company>Regaltec</Company>
  <LinksUpToDate>false</LinksUpToDate>
  <CharactersWithSpaces>3187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2019-06-05T01:47:00Z</dcterms:created>
  <dcterms:modified xsi:type="dcterms:W3CDTF">2019-06-05T01:49:00Z</dcterms:modified>
</cp:coreProperties>
</file>