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D02AFC" w:rsidRDefault="00D02AFC" w:rsidP="00D02AFC">
      <w:pPr>
        <w:jc w:val="center"/>
        <w:rPr>
          <w:rFonts w:ascii="微软雅黑" w:eastAsia="微软雅黑" w:hAnsi="微软雅黑" w:hint="eastAsia"/>
          <w:b/>
          <w:bCs/>
          <w:color w:val="0E59A4"/>
          <w:sz w:val="36"/>
          <w:szCs w:val="36"/>
        </w:rPr>
      </w:pPr>
      <w:r w:rsidRPr="00D02AFC">
        <w:rPr>
          <w:rFonts w:ascii="微软雅黑" w:eastAsia="微软雅黑" w:hAnsi="微软雅黑" w:hint="eastAsia"/>
          <w:b/>
          <w:bCs/>
          <w:color w:val="0E59A4"/>
          <w:sz w:val="36"/>
          <w:szCs w:val="36"/>
        </w:rPr>
        <w:t>佛山市南海区住房城乡建设和水利局关于建筑施工行业实施安全生产责任保险的通知</w:t>
      </w:r>
    </w:p>
    <w:p w:rsidR="00D02AFC" w:rsidRPr="00D02AFC" w:rsidRDefault="00D02AFC" w:rsidP="00D02AFC">
      <w:pPr>
        <w:spacing w:line="360" w:lineRule="auto"/>
        <w:rPr>
          <w:rFonts w:asciiTheme="minorEastAsia" w:hAnsiTheme="minorEastAsia" w:hint="eastAsia"/>
          <w:b/>
          <w:bCs/>
          <w:color w:val="0E59A4"/>
          <w:sz w:val="24"/>
          <w:szCs w:val="24"/>
        </w:rPr>
      </w:pP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各镇（街道）城建和水利办公室，区建筑工程施工安全监督站，各建设、施工和监理企业：</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为认真贯彻国家，省和市关于推进安全生产领域改革发展决策部署，构建我区建筑施工行业更加高效的安全生产风险防控机制，落实我区建筑施工行业安全生产责任保险制度，预防和减少生产安全事故，提高企业风险抵御能力，提高行业安全管理水平，促进行业高质量发展，根据《中华人民共和国安全生产法》（2021年修订）、《国家安全监管总局 保监会 财政部关于印发〈安全生产责任保险实施办法〉的通知》(安监总办〔2017〕140号)、《广东省安全生产责任保险实施办法》（广东省人民政府令第274号）和《广东省应急管理厅广东省地方金融监管局中国银行保险监督管理委员会广东监管局关于印发〈广东省安全生产责任保险实施方案〉的通知》（粤应急规〔2021〕2号）等法律法规及文件规定，结合我区实际，现就我区建筑施工行业实施安全生产责任保险（以下简称“建工安责险”）事项通知如下：</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一、建工安责险释义</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我区建工安责险是保险机构对我区投保的房屋市政工程项目生产安全事故造成的人员伤亡和有关经济损失等予以赔偿，并且为我区建筑施工行业提供事故预防服务的强制商业保险，与工伤保险为并行关系，保险责任包括生产安全事故造成的从业人员人身伤亡赔偿、第三者人身伤亡和财产损失赔偿，以及上述产生的医疗救护、抢险救援、事故鉴定和法律服务等费用。具体详见附件。</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二、实施范围</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《安全生产法》（2021年修订）于2021年9月1日起实施，第五十一条规定，属于国家规定的高危行业、领域的生产经营单位，应当投保安全生产责任保</w:t>
      </w:r>
      <w:r w:rsidRPr="00D02AFC">
        <w:rPr>
          <w:rFonts w:asciiTheme="minorEastAsia" w:hAnsiTheme="minorEastAsia" w:cs="宋体" w:hint="eastAsia"/>
          <w:color w:val="333333"/>
          <w:kern w:val="0"/>
          <w:sz w:val="24"/>
          <w:szCs w:val="24"/>
        </w:rPr>
        <w:lastRenderedPageBreak/>
        <w:t>险。建筑施工行业属于国家规定的八大高危行业之一，自发文之日起，全区新申领施工许可的房屋建筑工程和市政基础设施工程项目，施工单位必须投保建工安责险。在本通知发文之前已申领施工许可的房屋建筑工程和市政基础设施工程项目，鼓励施工单位参照本通知投保建工安责险。</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三、承保单位</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为高效推进我区建工安责险实施落地，有效预防和减少生产安全事故，提高企业风险抵御能力，提高行业安全管理水平，促进行业高质量发展，有序推进安全事故预防服务，避免建工安责险承保展业市场恶性竞争，借鉴其他地市经验，建议施工企业向偿付和事故预防服务更有保障的共保体投保建工安责险。</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（一）共保体</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按照有关规定，我局通过公开招标，选定了四家保险机构组建了建工安责险共保体，可承保我区建工安责险，具体如下：</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1.首席承保人：中国人民财产保险股份有限公司广东省分公司。</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2.共保人：中国平安财产保险股份有限公司广东分公司、中国大地财产保险股份有限公司广东分公司、中华联合财产保险股份有限公司广东分公司。</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首席承保人负责建工安责险的承保、理赔和事故预防服务工作（联系电话：0757-86231276）。</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（二）其他独立展业的保险机构</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鉴于建工安责险对于保险机构的偿付能力和事故预防服务水平有较高的要求，除上述共保体外，其他有意向在我区承保建工安责险的保险机构，应具备商业信誉良好、偿付能力高、理赔高效等条件，并成立事故预防服务团队、制定安责险服务方案向我局报备，接受我局考核。</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四、投保方式、承保期限及费率</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（一）投保方式</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1.建工安责险以项目为单位，实行不记名和不计人数的方式投保；</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2.建工安责险保费由施工总承包企业以项目为单位缴纳，不得以任何形式摊派给从业人员；专业分包单位应按工程造价比例承担投保费用。</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（二）承保期限</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1.未开工项目，自工程项目施工许可之日起至施工许可证载竣工之日（按合同工期计算）。</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2.已开工项目，自保单生效之日起至施工许可证载竣工之日（按合同工期计算）。</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3.保险期限届满时工程未竣工的，投保人应在保险期限届满之日前30日内向保险人申请办理延期手续，延期在3个月以内，免费延期，延期超3个月的延期保费按照剩余工程造价及延期期限计算。</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4.如工程因故中止施工3个月以上的，投保人可在停工之前向保险人申请办理保单暂停手续，保单暂停期间保险公司不承担保险责任，原保险期限可顺延。</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（三）保险费</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保险费由主险（必选）和附加险（可选）组成，计算方式为：保险费=工程造价*基础费率之和*系数A*系数B*系数C*系数D，其中，工程造价以网签备案合同价为准，基础费率参考价和系数详见附件。</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为提高承保效率，结合其他地市经验，保险机构和投保人可根据项目实际风险情况，就费率浮动进行协商。对于屡次拒不整改隐患及其他不良行为的投保人，保险机构可适当提高费率。具体费率及费用计算方式详见附件。</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五、理赔处理</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保险机构要建立健全快速赔付机制，在事故发生后按照法律规定和合同约定，对于确定范围的，实施预先赔付；保险机构认为不属于理赔范围的，应充分说明理由；理赔条款不得设置出具政府部门相关证明材料的条件。</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（一）理赔程序</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1.发生安全事故后，投保企业应当在48小时内向承保机构报案。</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2.承保机构在受理报案后30分钟内，安排理赔人员进行电话回访，向被保险人一次性提供索赔资料清单；对于需要查勘现场的或现场需要协助的，保险服务人员应在2个小时内到达现场进行查勘，同时协助被保险人实施应急措施，减少损失。</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3.保险机构理赔人员初步审核单证后，如果发现资料欠缺，可以一次性提出补充资料的要求，收到齐全的索赔资料并与被保险人就赔款金额达成一致意见后，按照下列要求履行给付保险金的义务：</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（1）对于5000元以下医疗费用（不涉及住院）赔偿，可以微信提交资料，实现即时结案支付。</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（2）赔偿金额在人民币5000元-10万元（含）之间的，应在1个工作日内支付赔款。</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（3）赔偿金额在人民币10万元-100万元（含）之间的，应在2个工作日内支付赔款。</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（4）赔偿金额在人民币100万元以上的，应在3个工作日内支付赔款。</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（二）赔偿额度</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根据投保的险种，按照以下限额赔付：</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1.工程造价在1亿元以下工程，保单累计赔付限额2000万人民币；每次赔付限额500万。</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2.工程造价在1亿元以上工程：保单累计赔付限额5000万人民币；每次赔付限额1000万。</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六、工作要求</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（一）建设单位在编制工程预算时，应考虑增加建工安责险的费用，在发包工程项目时，应告知并督促施工企业投保建工安责险。</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二）施工企业在承接工程项目后，应主动投保建工安责险，不得无故退保，要积极配合保险机构开展安全生产宣传教育培训、生产安全事故隐患排查和安全生产风险评估服务，并对发现的生产安全事故隐患及时进行整改。</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三）保险机构要成立建工安责险业务团队，建立事故预防服务机构，制定服务工作方案，为所有投保企业提供专业的事故预防服务，定期向我局提交月度、季度工作报告及年度总结工作报告。保险机构要配合建设行政主管部门开展建筑施工安全管理工作，对于存在重大事故隐患或者对事故隐患整改建议拒不整改的企业，保险机构要向建设行政主管部门报告。</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四）各镇（街道）城建和水利办、区建筑工程施工安全监督站要依法督促所属监督的工程项目投保建工安责险，对于未按要求购买建工安责险的工程项目，要及时上报，我局将根据法律法规及文件要求，对未按要求购买建工安责险的施工企业予以严肃处理。</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五）我局将定期对承接我区建工安责险的保险机构进行考核，对于存在违规展业、事故预防服务落实不到位、保险义务履行不到位等不良行为，且不能立即改正的保险机构，我局将向有关金融监管部门通报其不良行为，向“信用南海”提供其不良信用信息，并在区建筑施工行业发布风险提醒。同时，对于继续向存在不良行为保险机构投保的工程项目，我局将予以重点监管。</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附件：保险费率和保费计算方式</w:t>
      </w:r>
    </w:p>
    <w:p w:rsidR="00D02AFC" w:rsidRPr="00D02AFC" w:rsidRDefault="00D02AFC" w:rsidP="00D02AFC">
      <w:pPr>
        <w:widowControl/>
        <w:shd w:val="clear" w:color="auto" w:fill="FFFFFF"/>
        <w:spacing w:before="100" w:beforeAutospacing="1" w:after="100" w:afterAutospacing="1" w:line="360" w:lineRule="auto"/>
        <w:jc w:val="righ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佛山市南海区住房城乡建设和水利局</w:t>
      </w:r>
    </w:p>
    <w:p w:rsidR="00D02AFC" w:rsidRPr="00D02AFC" w:rsidRDefault="00D02AFC" w:rsidP="00D02AFC">
      <w:pPr>
        <w:widowControl/>
        <w:shd w:val="clear" w:color="auto" w:fill="FFFFFF"/>
        <w:spacing w:before="100" w:beforeAutospacing="1" w:after="100" w:afterAutospacing="1" w:line="360" w:lineRule="auto"/>
        <w:jc w:val="righ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2021年11月18日</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附件</w:t>
      </w:r>
    </w:p>
    <w:p w:rsidR="00D02AFC" w:rsidRPr="00D02AFC" w:rsidRDefault="00D02AFC" w:rsidP="00D02AFC">
      <w:pPr>
        <w:widowControl/>
        <w:shd w:val="clear" w:color="auto" w:fill="FFFFFF"/>
        <w:spacing w:before="100" w:beforeAutospacing="1" w:after="100" w:afterAutospacing="1" w:line="360" w:lineRule="auto"/>
        <w:jc w:val="center"/>
        <w:outlineLvl w:val="2"/>
        <w:rPr>
          <w:rFonts w:asciiTheme="minorEastAsia" w:hAnsiTheme="minorEastAsia" w:cs="宋体" w:hint="eastAsia"/>
          <w:b/>
          <w:bCs/>
          <w:color w:val="333333"/>
          <w:kern w:val="0"/>
          <w:sz w:val="24"/>
          <w:szCs w:val="24"/>
        </w:rPr>
      </w:pPr>
      <w:r w:rsidRPr="00D02AFC">
        <w:rPr>
          <w:rFonts w:asciiTheme="minorEastAsia" w:hAnsiTheme="minorEastAsia" w:cs="宋体" w:hint="eastAsia"/>
          <w:b/>
          <w:bCs/>
          <w:color w:val="333333"/>
          <w:kern w:val="0"/>
          <w:sz w:val="24"/>
          <w:szCs w:val="24"/>
        </w:rPr>
        <w:t xml:space="preserve">　　保险费率和保费计算方式</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一、主险基础费率（必选）</w:t>
      </w:r>
    </w:p>
    <w:tbl>
      <w:tblPr>
        <w:tblW w:w="9496" w:type="dxa"/>
        <w:tblInd w:w="-542"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2836"/>
        <w:gridCol w:w="1559"/>
        <w:gridCol w:w="3829"/>
        <w:gridCol w:w="1272"/>
      </w:tblGrid>
      <w:tr w:rsidR="005913F1" w:rsidRPr="00D02AFC" w:rsidTr="005913F1">
        <w:tc>
          <w:tcPr>
            <w:tcW w:w="1493"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5913F1">
            <w:pPr>
              <w:widowControl/>
              <w:spacing w:before="100" w:beforeAutospacing="1" w:after="100" w:afterAutospacing="1" w:line="360" w:lineRule="auto"/>
              <w:jc w:val="center"/>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保险责任</w:t>
            </w: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5913F1">
            <w:pPr>
              <w:widowControl/>
              <w:spacing w:before="100" w:beforeAutospacing="1" w:after="100" w:afterAutospacing="1" w:line="360" w:lineRule="auto"/>
              <w:jc w:val="center"/>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限额</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5913F1">
            <w:pPr>
              <w:widowControl/>
              <w:spacing w:before="100" w:beforeAutospacing="1" w:after="100" w:afterAutospacing="1" w:line="360" w:lineRule="auto"/>
              <w:jc w:val="center"/>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限额说明</w:t>
            </w:r>
          </w:p>
        </w:tc>
        <w:tc>
          <w:tcPr>
            <w:tcW w:w="67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5913F1">
            <w:pPr>
              <w:widowControl/>
              <w:spacing w:before="100" w:beforeAutospacing="1" w:after="100" w:afterAutospacing="1" w:line="360" w:lineRule="auto"/>
              <w:jc w:val="center"/>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投保费率</w:t>
            </w:r>
          </w:p>
        </w:tc>
      </w:tr>
      <w:tr w:rsidR="005913F1" w:rsidRPr="00D02AFC" w:rsidTr="005913F1">
        <w:tc>
          <w:tcPr>
            <w:tcW w:w="1493" w:type="pct"/>
            <w:vMerge w:val="restar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从业人员、第三者死亡</w:t>
            </w:r>
          </w:p>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（其中含6档可选）</w:t>
            </w: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50 万元/人</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每人赔偿限额为 50 万元</w:t>
            </w:r>
          </w:p>
        </w:tc>
        <w:tc>
          <w:tcPr>
            <w:tcW w:w="67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0.07%</w:t>
            </w:r>
          </w:p>
        </w:tc>
      </w:tr>
      <w:tr w:rsidR="005913F1" w:rsidRPr="00D02AFC" w:rsidTr="005913F1">
        <w:tc>
          <w:tcPr>
            <w:tcW w:w="1493" w:type="pct"/>
            <w:vMerge/>
            <w:tcBorders>
              <w:top w:val="single" w:sz="6" w:space="0" w:color="000000"/>
              <w:left w:val="single" w:sz="6" w:space="0" w:color="000000"/>
              <w:bottom w:val="single" w:sz="6" w:space="0" w:color="000000"/>
              <w:right w:val="single" w:sz="6" w:space="0" w:color="000000"/>
            </w:tcBorders>
            <w:vAlign w:val="center"/>
            <w:hideMark/>
          </w:tcPr>
          <w:p w:rsidR="00D02AFC" w:rsidRPr="00D02AFC" w:rsidRDefault="00D02AFC" w:rsidP="00D02AFC">
            <w:pPr>
              <w:widowControl/>
              <w:spacing w:line="360" w:lineRule="auto"/>
              <w:jc w:val="left"/>
              <w:rPr>
                <w:rFonts w:asciiTheme="minorEastAsia" w:hAnsiTheme="minorEastAsia" w:cs="宋体"/>
                <w:color w:val="333333"/>
                <w:kern w:val="0"/>
                <w:sz w:val="24"/>
                <w:szCs w:val="24"/>
              </w:rPr>
            </w:pP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60 万元/人</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每人赔偿限额为 60 万元</w:t>
            </w:r>
          </w:p>
        </w:tc>
        <w:tc>
          <w:tcPr>
            <w:tcW w:w="67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0.08%</w:t>
            </w:r>
          </w:p>
        </w:tc>
      </w:tr>
      <w:tr w:rsidR="005913F1" w:rsidRPr="00D02AFC" w:rsidTr="005913F1">
        <w:tc>
          <w:tcPr>
            <w:tcW w:w="1493" w:type="pct"/>
            <w:vMerge/>
            <w:tcBorders>
              <w:top w:val="single" w:sz="6" w:space="0" w:color="000000"/>
              <w:left w:val="single" w:sz="6" w:space="0" w:color="000000"/>
              <w:bottom w:val="single" w:sz="6" w:space="0" w:color="000000"/>
              <w:right w:val="single" w:sz="6" w:space="0" w:color="000000"/>
            </w:tcBorders>
            <w:vAlign w:val="center"/>
            <w:hideMark/>
          </w:tcPr>
          <w:p w:rsidR="00D02AFC" w:rsidRPr="00D02AFC" w:rsidRDefault="00D02AFC" w:rsidP="00D02AFC">
            <w:pPr>
              <w:widowControl/>
              <w:spacing w:line="360" w:lineRule="auto"/>
              <w:jc w:val="left"/>
              <w:rPr>
                <w:rFonts w:asciiTheme="minorEastAsia" w:hAnsiTheme="minorEastAsia" w:cs="宋体"/>
                <w:color w:val="333333"/>
                <w:kern w:val="0"/>
                <w:sz w:val="24"/>
                <w:szCs w:val="24"/>
              </w:rPr>
            </w:pP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70 万元/人</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每人赔偿限额为 70 万元</w:t>
            </w:r>
          </w:p>
        </w:tc>
        <w:tc>
          <w:tcPr>
            <w:tcW w:w="67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0.09%</w:t>
            </w:r>
          </w:p>
        </w:tc>
      </w:tr>
      <w:tr w:rsidR="005913F1" w:rsidRPr="00D02AFC" w:rsidTr="005913F1">
        <w:tc>
          <w:tcPr>
            <w:tcW w:w="1493" w:type="pct"/>
            <w:vMerge/>
            <w:tcBorders>
              <w:top w:val="single" w:sz="6" w:space="0" w:color="000000"/>
              <w:left w:val="single" w:sz="6" w:space="0" w:color="000000"/>
              <w:bottom w:val="single" w:sz="6" w:space="0" w:color="000000"/>
              <w:right w:val="single" w:sz="6" w:space="0" w:color="000000"/>
            </w:tcBorders>
            <w:vAlign w:val="center"/>
            <w:hideMark/>
          </w:tcPr>
          <w:p w:rsidR="00D02AFC" w:rsidRPr="00D02AFC" w:rsidRDefault="00D02AFC" w:rsidP="00D02AFC">
            <w:pPr>
              <w:widowControl/>
              <w:spacing w:line="360" w:lineRule="auto"/>
              <w:jc w:val="left"/>
              <w:rPr>
                <w:rFonts w:asciiTheme="minorEastAsia" w:hAnsiTheme="minorEastAsia" w:cs="宋体"/>
                <w:color w:val="333333"/>
                <w:kern w:val="0"/>
                <w:sz w:val="24"/>
                <w:szCs w:val="24"/>
              </w:rPr>
            </w:pP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80 万元/人</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每人赔偿限额为 80 万元</w:t>
            </w:r>
          </w:p>
        </w:tc>
        <w:tc>
          <w:tcPr>
            <w:tcW w:w="67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0.1%</w:t>
            </w:r>
          </w:p>
        </w:tc>
      </w:tr>
      <w:tr w:rsidR="005913F1" w:rsidRPr="00D02AFC" w:rsidTr="005913F1">
        <w:tc>
          <w:tcPr>
            <w:tcW w:w="1493" w:type="pct"/>
            <w:vMerge/>
            <w:tcBorders>
              <w:top w:val="single" w:sz="6" w:space="0" w:color="000000"/>
              <w:left w:val="single" w:sz="6" w:space="0" w:color="000000"/>
              <w:bottom w:val="single" w:sz="6" w:space="0" w:color="000000"/>
              <w:right w:val="single" w:sz="6" w:space="0" w:color="000000"/>
            </w:tcBorders>
            <w:vAlign w:val="center"/>
            <w:hideMark/>
          </w:tcPr>
          <w:p w:rsidR="00D02AFC" w:rsidRPr="00D02AFC" w:rsidRDefault="00D02AFC" w:rsidP="00D02AFC">
            <w:pPr>
              <w:widowControl/>
              <w:spacing w:line="360" w:lineRule="auto"/>
              <w:jc w:val="left"/>
              <w:rPr>
                <w:rFonts w:asciiTheme="minorEastAsia" w:hAnsiTheme="minorEastAsia" w:cs="宋体"/>
                <w:color w:val="333333"/>
                <w:kern w:val="0"/>
                <w:sz w:val="24"/>
                <w:szCs w:val="24"/>
              </w:rPr>
            </w:pP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90 万元/人</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每人赔偿限额为 90 万元</w:t>
            </w:r>
          </w:p>
        </w:tc>
        <w:tc>
          <w:tcPr>
            <w:tcW w:w="67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0.105%</w:t>
            </w:r>
          </w:p>
        </w:tc>
      </w:tr>
      <w:tr w:rsidR="005913F1" w:rsidRPr="00D02AFC" w:rsidTr="005913F1">
        <w:tc>
          <w:tcPr>
            <w:tcW w:w="1493" w:type="pct"/>
            <w:vMerge/>
            <w:tcBorders>
              <w:top w:val="single" w:sz="6" w:space="0" w:color="000000"/>
              <w:left w:val="single" w:sz="6" w:space="0" w:color="000000"/>
              <w:bottom w:val="single" w:sz="6" w:space="0" w:color="000000"/>
              <w:right w:val="single" w:sz="6" w:space="0" w:color="000000"/>
            </w:tcBorders>
            <w:vAlign w:val="center"/>
            <w:hideMark/>
          </w:tcPr>
          <w:p w:rsidR="00D02AFC" w:rsidRPr="00D02AFC" w:rsidRDefault="00D02AFC" w:rsidP="00D02AFC">
            <w:pPr>
              <w:widowControl/>
              <w:spacing w:line="360" w:lineRule="auto"/>
              <w:jc w:val="left"/>
              <w:rPr>
                <w:rFonts w:asciiTheme="minorEastAsia" w:hAnsiTheme="minorEastAsia" w:cs="宋体"/>
                <w:color w:val="333333"/>
                <w:kern w:val="0"/>
                <w:sz w:val="24"/>
                <w:szCs w:val="24"/>
              </w:rPr>
            </w:pP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5913F1">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100万元/人</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每人赔偿限额为100 万元</w:t>
            </w:r>
          </w:p>
        </w:tc>
        <w:tc>
          <w:tcPr>
            <w:tcW w:w="67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0.11%</w:t>
            </w:r>
          </w:p>
        </w:tc>
      </w:tr>
      <w:tr w:rsidR="005913F1" w:rsidRPr="00D02AFC" w:rsidTr="005913F1">
        <w:tc>
          <w:tcPr>
            <w:tcW w:w="1493"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事故抢险救援及医疗救护费用保障</w:t>
            </w: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10 万元</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按实际发生费用在每次事故限额内赔偿</w:t>
            </w:r>
          </w:p>
        </w:tc>
        <w:tc>
          <w:tcPr>
            <w:tcW w:w="671" w:type="pct"/>
            <w:vMerge w:val="restar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0.01%</w:t>
            </w:r>
          </w:p>
        </w:tc>
      </w:tr>
      <w:tr w:rsidR="005913F1" w:rsidRPr="00D02AFC" w:rsidTr="005913F1">
        <w:tc>
          <w:tcPr>
            <w:tcW w:w="1493"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每次事故及累计事故鉴定费用责任限额</w:t>
            </w: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10万元</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按实际发生费用在每次事故限额内赔偿</w:t>
            </w:r>
          </w:p>
        </w:tc>
        <w:tc>
          <w:tcPr>
            <w:tcW w:w="671" w:type="pct"/>
            <w:vMerge/>
            <w:tcBorders>
              <w:top w:val="single" w:sz="6" w:space="0" w:color="000000"/>
              <w:left w:val="single" w:sz="6" w:space="0" w:color="000000"/>
              <w:bottom w:val="single" w:sz="6" w:space="0" w:color="000000"/>
              <w:right w:val="single" w:sz="6" w:space="0" w:color="000000"/>
            </w:tcBorders>
            <w:vAlign w:val="center"/>
            <w:hideMark/>
          </w:tcPr>
          <w:p w:rsidR="00D02AFC" w:rsidRPr="00D02AFC" w:rsidRDefault="00D02AFC" w:rsidP="00D02AFC">
            <w:pPr>
              <w:widowControl/>
              <w:spacing w:line="360" w:lineRule="auto"/>
              <w:jc w:val="left"/>
              <w:rPr>
                <w:rFonts w:asciiTheme="minorEastAsia" w:hAnsiTheme="minorEastAsia" w:cs="宋体"/>
                <w:color w:val="333333"/>
                <w:kern w:val="0"/>
                <w:sz w:val="24"/>
                <w:szCs w:val="24"/>
              </w:rPr>
            </w:pPr>
          </w:p>
        </w:tc>
      </w:tr>
      <w:tr w:rsidR="005913F1" w:rsidRPr="00D02AFC" w:rsidTr="005913F1">
        <w:tc>
          <w:tcPr>
            <w:tcW w:w="1493"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每次事故及累计法律费用责任限额</w:t>
            </w:r>
          </w:p>
        </w:tc>
        <w:tc>
          <w:tcPr>
            <w:tcW w:w="821"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累积责任限额的5%</w:t>
            </w:r>
          </w:p>
        </w:tc>
        <w:tc>
          <w:tcPr>
            <w:tcW w:w="2016"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按实际发生费用在每次事故限额内赔偿</w:t>
            </w:r>
          </w:p>
        </w:tc>
        <w:tc>
          <w:tcPr>
            <w:tcW w:w="671" w:type="pct"/>
            <w:vMerge/>
            <w:tcBorders>
              <w:top w:val="single" w:sz="6" w:space="0" w:color="000000"/>
              <w:left w:val="single" w:sz="6" w:space="0" w:color="000000"/>
              <w:bottom w:val="single" w:sz="6" w:space="0" w:color="000000"/>
              <w:right w:val="single" w:sz="6" w:space="0" w:color="000000"/>
            </w:tcBorders>
            <w:vAlign w:val="center"/>
            <w:hideMark/>
          </w:tcPr>
          <w:p w:rsidR="00D02AFC" w:rsidRPr="00D02AFC" w:rsidRDefault="00D02AFC" w:rsidP="00D02AFC">
            <w:pPr>
              <w:widowControl/>
              <w:spacing w:line="360" w:lineRule="auto"/>
              <w:jc w:val="left"/>
              <w:rPr>
                <w:rFonts w:asciiTheme="minorEastAsia" w:hAnsiTheme="minorEastAsia" w:cs="宋体"/>
                <w:color w:val="333333"/>
                <w:kern w:val="0"/>
                <w:sz w:val="24"/>
                <w:szCs w:val="24"/>
              </w:rPr>
            </w:pPr>
          </w:p>
        </w:tc>
      </w:tr>
    </w:tbl>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二、附加险基础费率（可选）</w:t>
      </w:r>
    </w:p>
    <w:tbl>
      <w:tblPr>
        <w:tblW w:w="10164" w:type="dxa"/>
        <w:tblCellMar>
          <w:top w:w="15" w:type="dxa"/>
          <w:left w:w="15" w:type="dxa"/>
          <w:bottom w:w="15" w:type="dxa"/>
          <w:right w:w="15" w:type="dxa"/>
        </w:tblCellMar>
        <w:tblLook w:val="04A0"/>
      </w:tblPr>
      <w:tblGrid>
        <w:gridCol w:w="2610"/>
        <w:gridCol w:w="2220"/>
        <w:gridCol w:w="4106"/>
        <w:gridCol w:w="1228"/>
      </w:tblGrid>
      <w:tr w:rsidR="00D02AFC" w:rsidRPr="00D02AFC" w:rsidTr="00D02AFC">
        <w:tc>
          <w:tcPr>
            <w:tcW w:w="1283" w:type="pct"/>
            <w:tcBorders>
              <w:top w:val="single" w:sz="8" w:space="0" w:color="000000"/>
              <w:left w:val="single" w:sz="8" w:space="0" w:color="000000"/>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b/>
                <w:bCs/>
                <w:color w:val="333333"/>
                <w:kern w:val="0"/>
                <w:sz w:val="24"/>
                <w:szCs w:val="24"/>
              </w:rPr>
              <w:t>保险责任</w:t>
            </w:r>
          </w:p>
        </w:tc>
        <w:tc>
          <w:tcPr>
            <w:tcW w:w="1092" w:type="pct"/>
            <w:tcBorders>
              <w:top w:val="single" w:sz="8" w:space="0" w:color="000000"/>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b/>
                <w:bCs/>
                <w:color w:val="333333"/>
                <w:kern w:val="0"/>
                <w:sz w:val="24"/>
                <w:szCs w:val="24"/>
              </w:rPr>
              <w:t>限额</w:t>
            </w:r>
          </w:p>
        </w:tc>
        <w:tc>
          <w:tcPr>
            <w:tcW w:w="2019" w:type="pct"/>
            <w:tcBorders>
              <w:top w:val="single" w:sz="8" w:space="0" w:color="000000"/>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b/>
                <w:bCs/>
                <w:color w:val="333333"/>
                <w:kern w:val="0"/>
                <w:sz w:val="24"/>
                <w:szCs w:val="24"/>
              </w:rPr>
              <w:t>限额说明</w:t>
            </w:r>
          </w:p>
        </w:tc>
        <w:tc>
          <w:tcPr>
            <w:tcW w:w="604" w:type="pct"/>
            <w:tcBorders>
              <w:top w:val="single" w:sz="8" w:space="0" w:color="000000"/>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b/>
                <w:bCs/>
                <w:color w:val="333333"/>
                <w:kern w:val="0"/>
                <w:sz w:val="24"/>
                <w:szCs w:val="24"/>
              </w:rPr>
              <w:t>基础费率</w:t>
            </w:r>
          </w:p>
        </w:tc>
      </w:tr>
      <w:tr w:rsidR="00D02AFC" w:rsidRPr="00D02AFC" w:rsidTr="00D02AFC">
        <w:tc>
          <w:tcPr>
            <w:tcW w:w="2612" w:type="dxa"/>
            <w:vMerge w:val="restart"/>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从业人员、</w:t>
            </w:r>
            <w:r w:rsidRPr="00D02AFC">
              <w:rPr>
                <w:rFonts w:asciiTheme="minorEastAsia" w:hAnsiTheme="minorEastAsia" w:cs="宋体" w:hint="eastAsia"/>
                <w:color w:val="333333"/>
                <w:kern w:val="0"/>
                <w:sz w:val="24"/>
                <w:szCs w:val="24"/>
              </w:rPr>
              <w:br/>
              <w:t>第三者伤残</w:t>
            </w:r>
            <w:r w:rsidRPr="00D02AFC">
              <w:rPr>
                <w:rFonts w:asciiTheme="minorEastAsia" w:hAnsiTheme="minorEastAsia" w:cs="宋体" w:hint="eastAsia"/>
                <w:color w:val="333333"/>
                <w:kern w:val="0"/>
                <w:sz w:val="24"/>
                <w:szCs w:val="24"/>
              </w:rPr>
              <w:br/>
              <w:t>（从业人员与第三者责任限额一致其中含2档可选）</w:t>
            </w:r>
          </w:p>
        </w:tc>
        <w:tc>
          <w:tcPr>
            <w:tcW w:w="2227"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30 万元/人</w:t>
            </w:r>
          </w:p>
        </w:tc>
        <w:tc>
          <w:tcPr>
            <w:tcW w:w="4102"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每人赔偿限额为30万元</w:t>
            </w:r>
          </w:p>
        </w:tc>
        <w:tc>
          <w:tcPr>
            <w:tcW w:w="1222"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0.02%</w:t>
            </w:r>
          </w:p>
        </w:tc>
      </w:tr>
      <w:tr w:rsidR="00D02AFC" w:rsidRPr="00D02AFC" w:rsidTr="00D02AFC">
        <w:tc>
          <w:tcPr>
            <w:tcW w:w="0" w:type="auto"/>
            <w:vMerge/>
            <w:tcBorders>
              <w:top w:val="nil"/>
              <w:left w:val="single" w:sz="8" w:space="0" w:color="000000"/>
              <w:bottom w:val="single" w:sz="8" w:space="0" w:color="000000"/>
              <w:right w:val="single" w:sz="8" w:space="0" w:color="000000"/>
            </w:tcBorders>
            <w:vAlign w:val="center"/>
            <w:hideMark/>
          </w:tcPr>
          <w:p w:rsidR="00D02AFC" w:rsidRPr="00D02AFC" w:rsidRDefault="00D02AFC" w:rsidP="00D02AFC">
            <w:pPr>
              <w:widowControl/>
              <w:spacing w:line="360" w:lineRule="auto"/>
              <w:jc w:val="left"/>
              <w:rPr>
                <w:rFonts w:asciiTheme="minorEastAsia" w:hAnsiTheme="minorEastAsia" w:cs="宋体"/>
                <w:color w:val="333333"/>
                <w:kern w:val="0"/>
                <w:sz w:val="24"/>
                <w:szCs w:val="24"/>
              </w:rPr>
            </w:pPr>
          </w:p>
        </w:tc>
        <w:tc>
          <w:tcPr>
            <w:tcW w:w="2227"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60万元/人</w:t>
            </w:r>
          </w:p>
        </w:tc>
        <w:tc>
          <w:tcPr>
            <w:tcW w:w="4102"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每人赔偿限额为60万元</w:t>
            </w:r>
          </w:p>
        </w:tc>
        <w:tc>
          <w:tcPr>
            <w:tcW w:w="1222"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0.04%</w:t>
            </w:r>
          </w:p>
        </w:tc>
      </w:tr>
      <w:tr w:rsidR="00D02AFC" w:rsidRPr="00D02AFC" w:rsidTr="00D02AFC">
        <w:tc>
          <w:tcPr>
            <w:tcW w:w="2612"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从业人员、</w:t>
            </w:r>
          </w:p>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第三者医疗费用</w:t>
            </w:r>
          </w:p>
        </w:tc>
        <w:tc>
          <w:tcPr>
            <w:tcW w:w="2227"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5 万元/人</w:t>
            </w:r>
          </w:p>
        </w:tc>
        <w:tc>
          <w:tcPr>
            <w:tcW w:w="4102"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每人赔偿限额为 5 万元</w:t>
            </w:r>
          </w:p>
        </w:tc>
        <w:tc>
          <w:tcPr>
            <w:tcW w:w="1222"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0.03%</w:t>
            </w:r>
          </w:p>
        </w:tc>
      </w:tr>
      <w:tr w:rsidR="00D02AFC" w:rsidRPr="00D02AFC" w:rsidTr="00D02AFC">
        <w:tc>
          <w:tcPr>
            <w:tcW w:w="2612" w:type="dxa"/>
            <w:tcBorders>
              <w:top w:val="nil"/>
              <w:left w:val="single" w:sz="8" w:space="0" w:color="000000"/>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第三者直接财产损失</w:t>
            </w:r>
          </w:p>
        </w:tc>
        <w:tc>
          <w:tcPr>
            <w:tcW w:w="2227"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10万元/人</w:t>
            </w:r>
          </w:p>
        </w:tc>
        <w:tc>
          <w:tcPr>
            <w:tcW w:w="4102"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仅限施工区域内。保单累计及每次事故赔偿限额10万元，同时投保伤残及医疗附加险的，免费扩展，不单独投保。</w:t>
            </w:r>
          </w:p>
        </w:tc>
        <w:tc>
          <w:tcPr>
            <w:tcW w:w="1222" w:type="dxa"/>
            <w:tcBorders>
              <w:top w:val="nil"/>
              <w:left w:val="nil"/>
              <w:bottom w:val="single" w:sz="8" w:space="0" w:color="000000"/>
              <w:right w:val="single" w:sz="8" w:space="0" w:color="000000"/>
            </w:tcBorders>
            <w:tcMar>
              <w:top w:w="84" w:type="dxa"/>
              <w:left w:w="117" w:type="dxa"/>
              <w:bottom w:w="84" w:type="dxa"/>
              <w:right w:w="11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w:t>
            </w:r>
          </w:p>
        </w:tc>
      </w:tr>
    </w:tbl>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三、计算方式</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（一）工期调整系数A</w:t>
      </w:r>
    </w:p>
    <w:tbl>
      <w:tblPr>
        <w:tblW w:w="9293" w:type="dxa"/>
        <w:tblCellMar>
          <w:top w:w="15" w:type="dxa"/>
          <w:left w:w="15" w:type="dxa"/>
          <w:bottom w:w="15" w:type="dxa"/>
          <w:right w:w="15" w:type="dxa"/>
        </w:tblCellMar>
        <w:tblLook w:val="04A0"/>
      </w:tblPr>
      <w:tblGrid>
        <w:gridCol w:w="5217"/>
        <w:gridCol w:w="4076"/>
      </w:tblGrid>
      <w:tr w:rsidR="00D02AFC" w:rsidRPr="00D02AFC" w:rsidTr="00D02AFC">
        <w:tc>
          <w:tcPr>
            <w:tcW w:w="2806" w:type="pct"/>
            <w:tcBorders>
              <w:top w:val="single" w:sz="8" w:space="0" w:color="000000"/>
              <w:left w:val="single" w:sz="8" w:space="0" w:color="000000"/>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工期</w:t>
            </w:r>
          </w:p>
        </w:tc>
        <w:tc>
          <w:tcPr>
            <w:tcW w:w="2193" w:type="pct"/>
            <w:tcBorders>
              <w:top w:val="single" w:sz="8" w:space="0" w:color="000000"/>
              <w:left w:val="nil"/>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系数</w:t>
            </w:r>
          </w:p>
        </w:tc>
      </w:tr>
      <w:tr w:rsidR="00D02AFC" w:rsidRPr="00D02AFC" w:rsidTr="00D02AFC">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1-12个月</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0.9</w:t>
            </w:r>
          </w:p>
        </w:tc>
      </w:tr>
      <w:tr w:rsidR="00D02AFC" w:rsidRPr="00D02AFC" w:rsidTr="00D02AFC">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13-24个月</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0.95</w:t>
            </w:r>
          </w:p>
        </w:tc>
      </w:tr>
      <w:tr w:rsidR="00D02AFC" w:rsidRPr="00D02AFC" w:rsidTr="00D02AFC">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25-36个月</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w:t>
            </w:r>
          </w:p>
        </w:tc>
      </w:tr>
      <w:tr w:rsidR="00D02AFC" w:rsidRPr="00D02AFC" w:rsidTr="00D02AFC">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37个月-60个月</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1.2</w:t>
            </w:r>
          </w:p>
        </w:tc>
      </w:tr>
      <w:tr w:rsidR="00D02AFC" w:rsidRPr="00D02AFC" w:rsidTr="00D02AFC">
        <w:tc>
          <w:tcPr>
            <w:tcW w:w="5207" w:type="dxa"/>
            <w:tcBorders>
              <w:top w:val="nil"/>
              <w:left w:val="single" w:sz="8" w:space="0" w:color="000000"/>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61个月以上</w:t>
            </w:r>
          </w:p>
        </w:tc>
        <w:tc>
          <w:tcPr>
            <w:tcW w:w="4069" w:type="dxa"/>
            <w:tcBorders>
              <w:top w:val="nil"/>
              <w:left w:val="nil"/>
              <w:bottom w:val="single" w:sz="8" w:space="0" w:color="000000"/>
              <w:right w:val="single" w:sz="8" w:space="0" w:color="000000"/>
            </w:tcBorders>
            <w:tcMar>
              <w:top w:w="84" w:type="dxa"/>
              <w:left w:w="117" w:type="dxa"/>
              <w:bottom w:w="84" w:type="dxa"/>
              <w:right w:w="11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逐单议</w:t>
            </w:r>
          </w:p>
        </w:tc>
      </w:tr>
    </w:tbl>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备注：不足 1 个月按 1 个月计算。</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（二）合同造价规模系数B</w:t>
      </w:r>
    </w:p>
    <w:tbl>
      <w:tblPr>
        <w:tblW w:w="9377"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5510"/>
        <w:gridCol w:w="3867"/>
      </w:tblGrid>
      <w:tr w:rsidR="00D02AFC" w:rsidRPr="00D02AFC" w:rsidTr="00D02AFC">
        <w:tc>
          <w:tcPr>
            <w:tcW w:w="2937"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合同总造价（单位：元）</w:t>
            </w:r>
          </w:p>
        </w:tc>
        <w:tc>
          <w:tcPr>
            <w:tcW w:w="206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系数</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3000万以下</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1.3</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3000以上，不足1亿</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1.2</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1亿以上，不足3亿</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3亿以上，不足5亿</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0.9</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5亿以上，不足10亿</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0.8</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10亿以上</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0.75</w:t>
            </w:r>
          </w:p>
        </w:tc>
      </w:tr>
    </w:tbl>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（三）工程类型系数C</w:t>
      </w:r>
    </w:p>
    <w:tbl>
      <w:tblPr>
        <w:tblW w:w="9377"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5510"/>
        <w:gridCol w:w="3867"/>
      </w:tblGrid>
      <w:tr w:rsidR="00D02AFC" w:rsidRPr="00D02AFC" w:rsidTr="00D02AFC">
        <w:tc>
          <w:tcPr>
            <w:tcW w:w="2937"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b/>
                <w:bCs/>
                <w:color w:val="333333"/>
                <w:kern w:val="0"/>
                <w:sz w:val="24"/>
                <w:szCs w:val="24"/>
              </w:rPr>
              <w:t>工程类型</w:t>
            </w:r>
          </w:p>
        </w:tc>
        <w:tc>
          <w:tcPr>
            <w:tcW w:w="2062"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b/>
                <w:bCs/>
                <w:color w:val="333333"/>
                <w:kern w:val="0"/>
                <w:sz w:val="24"/>
                <w:szCs w:val="24"/>
              </w:rPr>
              <w:t>调整系数</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市政工程（非道路、桥梁、轨道）</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0.9</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楼宇建造（含主体建造、装修）</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机械拆除（含爆破）</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1.1</w:t>
            </w:r>
          </w:p>
        </w:tc>
      </w:tr>
      <w:tr w:rsidR="00D02AFC" w:rsidRPr="00D02AFC" w:rsidTr="00D02AFC">
        <w:tc>
          <w:tcPr>
            <w:tcW w:w="550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人工拆除</w:t>
            </w:r>
          </w:p>
        </w:tc>
        <w:tc>
          <w:tcPr>
            <w:tcW w:w="3868"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1.4</w:t>
            </w:r>
          </w:p>
        </w:tc>
      </w:tr>
    </w:tbl>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（四）佛山市建筑行业企业诚信综合考评等级系数D</w:t>
      </w:r>
    </w:p>
    <w:tbl>
      <w:tblPr>
        <w:tblW w:w="9260"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tblPr>
      <w:tblGrid>
        <w:gridCol w:w="5862"/>
        <w:gridCol w:w="3398"/>
      </w:tblGrid>
      <w:tr w:rsidR="00D02AFC" w:rsidRPr="00D02AFC" w:rsidTr="00D02AFC">
        <w:tc>
          <w:tcPr>
            <w:tcW w:w="3164"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b/>
                <w:bCs/>
                <w:color w:val="333333"/>
                <w:kern w:val="0"/>
                <w:sz w:val="24"/>
                <w:szCs w:val="24"/>
              </w:rPr>
              <w:t>诚信企业标准</w:t>
            </w:r>
          </w:p>
        </w:tc>
        <w:tc>
          <w:tcPr>
            <w:tcW w:w="1835" w:type="pct"/>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b/>
                <w:bCs/>
                <w:color w:val="333333"/>
                <w:kern w:val="0"/>
                <w:sz w:val="24"/>
                <w:szCs w:val="24"/>
              </w:rPr>
              <w:t>调整系数</w:t>
            </w:r>
          </w:p>
        </w:tc>
      </w:tr>
      <w:tr w:rsidR="00D02AFC" w:rsidRPr="00D02AFC" w:rsidTr="00D02AFC">
        <w:tc>
          <w:tcPr>
            <w:tcW w:w="5860"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A级企业</w:t>
            </w:r>
          </w:p>
        </w:tc>
        <w:tc>
          <w:tcPr>
            <w:tcW w:w="339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0.95</w:t>
            </w:r>
          </w:p>
        </w:tc>
      </w:tr>
      <w:tr w:rsidR="00D02AFC" w:rsidRPr="00D02AFC" w:rsidTr="00D02AFC">
        <w:tc>
          <w:tcPr>
            <w:tcW w:w="5860"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B级企业</w:t>
            </w:r>
          </w:p>
        </w:tc>
        <w:tc>
          <w:tcPr>
            <w:tcW w:w="339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w:t>
            </w:r>
          </w:p>
        </w:tc>
      </w:tr>
      <w:tr w:rsidR="00D02AFC" w:rsidRPr="00D02AFC" w:rsidTr="00D02AFC">
        <w:tc>
          <w:tcPr>
            <w:tcW w:w="5860"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C级企业</w:t>
            </w:r>
          </w:p>
        </w:tc>
        <w:tc>
          <w:tcPr>
            <w:tcW w:w="339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1.05</w:t>
            </w:r>
          </w:p>
        </w:tc>
      </w:tr>
      <w:tr w:rsidR="00D02AFC" w:rsidRPr="00D02AFC" w:rsidTr="00D02AFC">
        <w:tc>
          <w:tcPr>
            <w:tcW w:w="5860"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D级企业</w:t>
            </w:r>
          </w:p>
        </w:tc>
        <w:tc>
          <w:tcPr>
            <w:tcW w:w="3399" w:type="dxa"/>
            <w:tcBorders>
              <w:top w:val="single" w:sz="6" w:space="0" w:color="000000"/>
              <w:left w:val="single" w:sz="6" w:space="0" w:color="000000"/>
              <w:bottom w:val="single" w:sz="6" w:space="0" w:color="000000"/>
              <w:right w:val="single" w:sz="6" w:space="0" w:color="000000"/>
            </w:tcBorders>
            <w:tcMar>
              <w:top w:w="84" w:type="dxa"/>
              <w:left w:w="167" w:type="dxa"/>
              <w:bottom w:w="84" w:type="dxa"/>
              <w:right w:w="167" w:type="dxa"/>
            </w:tcMar>
            <w:vAlign w:val="center"/>
            <w:hideMark/>
          </w:tcPr>
          <w:p w:rsidR="00D02AFC" w:rsidRPr="00D02AFC" w:rsidRDefault="00D02AFC" w:rsidP="00D02AFC">
            <w:pPr>
              <w:widowControl/>
              <w:spacing w:before="100" w:beforeAutospacing="1" w:after="100" w:afterAutospacing="1" w:line="360" w:lineRule="auto"/>
              <w:jc w:val="left"/>
              <w:rPr>
                <w:rFonts w:asciiTheme="minorEastAsia" w:hAnsiTheme="minorEastAsia" w:cs="宋体"/>
                <w:color w:val="333333"/>
                <w:kern w:val="0"/>
                <w:sz w:val="24"/>
                <w:szCs w:val="24"/>
              </w:rPr>
            </w:pPr>
            <w:r w:rsidRPr="00D02AFC">
              <w:rPr>
                <w:rFonts w:asciiTheme="minorEastAsia" w:hAnsiTheme="minorEastAsia" w:cs="宋体" w:hint="eastAsia"/>
                <w:color w:val="333333"/>
                <w:kern w:val="0"/>
                <w:sz w:val="24"/>
                <w:szCs w:val="24"/>
              </w:rPr>
              <w:t>1.1</w:t>
            </w:r>
          </w:p>
        </w:tc>
      </w:tr>
    </w:tbl>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b/>
          <w:bCs/>
          <w:color w:val="333333"/>
          <w:kern w:val="0"/>
          <w:sz w:val="24"/>
          <w:szCs w:val="24"/>
        </w:rPr>
        <w:t xml:space="preserve">　　保险费=工程造价*基础费率之和*系数A*系数B*系数C*系数D；</w:t>
      </w:r>
    </w:p>
    <w:p w:rsidR="00D02AFC" w:rsidRPr="00D02AFC" w:rsidRDefault="00D02AFC" w:rsidP="00D02AFC">
      <w:pPr>
        <w:widowControl/>
        <w:shd w:val="clear" w:color="auto" w:fill="FFFFFF"/>
        <w:spacing w:before="100" w:beforeAutospacing="1" w:after="100" w:afterAutospacing="1" w:line="360" w:lineRule="auto"/>
        <w:jc w:val="left"/>
        <w:rPr>
          <w:rFonts w:asciiTheme="minorEastAsia" w:hAnsiTheme="minorEastAsia" w:cs="宋体" w:hint="eastAsia"/>
          <w:color w:val="333333"/>
          <w:kern w:val="0"/>
          <w:sz w:val="24"/>
          <w:szCs w:val="24"/>
        </w:rPr>
      </w:pPr>
      <w:r w:rsidRPr="00D02AFC">
        <w:rPr>
          <w:rFonts w:asciiTheme="minorEastAsia" w:hAnsiTheme="minorEastAsia" w:cs="宋体" w:hint="eastAsia"/>
          <w:color w:val="333333"/>
          <w:kern w:val="0"/>
          <w:sz w:val="24"/>
          <w:szCs w:val="24"/>
        </w:rPr>
        <w:t xml:space="preserve">　　若主险及附加险全部子项投保的，保险费用=工程造价*基础费率之和*系数A*系数B*系数C*系数D*0.9。</w:t>
      </w:r>
    </w:p>
    <w:p w:rsidR="00D02AFC" w:rsidRPr="00D02AFC" w:rsidRDefault="00D02AFC"/>
    <w:sectPr w:rsidR="00D02AFC" w:rsidRPr="00D02AF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956DF" w:rsidRDefault="005956DF" w:rsidP="00D02AFC">
      <w:r>
        <w:separator/>
      </w:r>
    </w:p>
  </w:endnote>
  <w:endnote w:type="continuationSeparator" w:id="1">
    <w:p w:rsidR="005956DF" w:rsidRDefault="005956DF" w:rsidP="00D02AF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956DF" w:rsidRDefault="005956DF" w:rsidP="00D02AFC">
      <w:r>
        <w:separator/>
      </w:r>
    </w:p>
  </w:footnote>
  <w:footnote w:type="continuationSeparator" w:id="1">
    <w:p w:rsidR="005956DF" w:rsidRDefault="005956DF" w:rsidP="00D02AF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D02AFC"/>
    <w:rsid w:val="005913F1"/>
    <w:rsid w:val="005956DF"/>
    <w:rsid w:val="00D02AF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D02AFC"/>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D02AF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D02AFC"/>
    <w:rPr>
      <w:sz w:val="18"/>
      <w:szCs w:val="18"/>
    </w:rPr>
  </w:style>
  <w:style w:type="paragraph" w:styleId="a4">
    <w:name w:val="footer"/>
    <w:basedOn w:val="a"/>
    <w:link w:val="Char0"/>
    <w:uiPriority w:val="99"/>
    <w:semiHidden/>
    <w:unhideWhenUsed/>
    <w:rsid w:val="00D02AF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D02AFC"/>
    <w:rPr>
      <w:sz w:val="18"/>
      <w:szCs w:val="18"/>
    </w:rPr>
  </w:style>
  <w:style w:type="character" w:customStyle="1" w:styleId="3Char">
    <w:name w:val="标题 3 Char"/>
    <w:basedOn w:val="a0"/>
    <w:link w:val="3"/>
    <w:uiPriority w:val="9"/>
    <w:rsid w:val="00D02AFC"/>
    <w:rPr>
      <w:rFonts w:ascii="宋体" w:eastAsia="宋体" w:hAnsi="宋体" w:cs="宋体"/>
      <w:b/>
      <w:bCs/>
      <w:kern w:val="0"/>
      <w:sz w:val="27"/>
      <w:szCs w:val="27"/>
    </w:rPr>
  </w:style>
  <w:style w:type="paragraph" w:styleId="a5">
    <w:name w:val="Normal (Web)"/>
    <w:basedOn w:val="a"/>
    <w:uiPriority w:val="99"/>
    <w:unhideWhenUsed/>
    <w:rsid w:val="00D02AF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D02AFC"/>
    <w:rPr>
      <w:b/>
      <w:bCs/>
    </w:rPr>
  </w:style>
</w:styles>
</file>

<file path=word/webSettings.xml><?xml version="1.0" encoding="utf-8"?>
<w:webSettings xmlns:r="http://schemas.openxmlformats.org/officeDocument/2006/relationships" xmlns:w="http://schemas.openxmlformats.org/wordprocessingml/2006/main">
  <w:divs>
    <w:div w:id="806124118">
      <w:bodyDiv w:val="1"/>
      <w:marLeft w:val="0"/>
      <w:marRight w:val="0"/>
      <w:marTop w:val="0"/>
      <w:marBottom w:val="0"/>
      <w:divBdr>
        <w:top w:val="none" w:sz="0" w:space="0" w:color="auto"/>
        <w:left w:val="none" w:sz="0" w:space="0" w:color="auto"/>
        <w:bottom w:val="none" w:sz="0" w:space="0" w:color="auto"/>
        <w:right w:val="none" w:sz="0" w:space="0" w:color="auto"/>
      </w:divBdr>
      <w:divsChild>
        <w:div w:id="1988435578">
          <w:marLeft w:val="0"/>
          <w:marRight w:val="0"/>
          <w:marTop w:val="0"/>
          <w:marBottom w:val="0"/>
          <w:divBdr>
            <w:top w:val="none" w:sz="0" w:space="0" w:color="auto"/>
            <w:left w:val="none" w:sz="0" w:space="0" w:color="auto"/>
            <w:bottom w:val="none" w:sz="0" w:space="0" w:color="auto"/>
            <w:right w:val="none" w:sz="0" w:space="0" w:color="auto"/>
          </w:divBdr>
          <w:divsChild>
            <w:div w:id="418520910">
              <w:marLeft w:val="0"/>
              <w:marRight w:val="0"/>
              <w:marTop w:val="0"/>
              <w:marBottom w:val="0"/>
              <w:divBdr>
                <w:top w:val="none" w:sz="0" w:space="0" w:color="auto"/>
                <w:left w:val="none" w:sz="0" w:space="0" w:color="auto"/>
                <w:bottom w:val="none" w:sz="0" w:space="0" w:color="auto"/>
                <w:right w:val="none" w:sz="0" w:space="0" w:color="auto"/>
              </w:divBdr>
              <w:divsChild>
                <w:div w:id="1391877327">
                  <w:marLeft w:val="0"/>
                  <w:marRight w:val="0"/>
                  <w:marTop w:val="0"/>
                  <w:marBottom w:val="0"/>
                  <w:divBdr>
                    <w:top w:val="none" w:sz="0" w:space="0" w:color="auto"/>
                    <w:left w:val="none" w:sz="0" w:space="0" w:color="auto"/>
                    <w:bottom w:val="none" w:sz="0" w:space="0" w:color="auto"/>
                    <w:right w:val="none" w:sz="0" w:space="0" w:color="auto"/>
                  </w:divBdr>
                  <w:divsChild>
                    <w:div w:id="1718234431">
                      <w:marLeft w:val="0"/>
                      <w:marRight w:val="0"/>
                      <w:marTop w:val="0"/>
                      <w:marBottom w:val="0"/>
                      <w:divBdr>
                        <w:top w:val="none" w:sz="0" w:space="0" w:color="auto"/>
                        <w:left w:val="none" w:sz="0" w:space="0" w:color="auto"/>
                        <w:bottom w:val="none" w:sz="0" w:space="0" w:color="auto"/>
                        <w:right w:val="none" w:sz="0" w:space="0" w:color="auto"/>
                      </w:divBdr>
                      <w:divsChild>
                        <w:div w:id="1515610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9</Pages>
  <Words>651</Words>
  <Characters>3716</Characters>
  <Application>Microsoft Office Word</Application>
  <DocSecurity>0</DocSecurity>
  <Lines>30</Lines>
  <Paragraphs>8</Paragraphs>
  <ScaleCrop>false</ScaleCrop>
  <Company>Regaltec</Company>
  <LinksUpToDate>false</LinksUpToDate>
  <CharactersWithSpaces>4359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4</cp:revision>
  <dcterms:created xsi:type="dcterms:W3CDTF">2021-11-23T01:22:00Z</dcterms:created>
  <dcterms:modified xsi:type="dcterms:W3CDTF">2021-11-23T01:25:00Z</dcterms:modified>
</cp:coreProperties>
</file>