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1AD5" w:rsidRPr="00481AD5" w:rsidRDefault="00481AD5" w:rsidP="00481AD5">
      <w:pPr>
        <w:widowControl/>
        <w:shd w:val="clear" w:color="auto" w:fill="FFFFFF"/>
        <w:spacing w:line="360" w:lineRule="auto"/>
        <w:jc w:val="center"/>
        <w:outlineLvl w:val="0"/>
        <w:rPr>
          <w:rFonts w:asciiTheme="minorEastAsia" w:hAnsiTheme="minorEastAsia" w:cs="宋体"/>
          <w:b/>
          <w:color w:val="0E59A4"/>
          <w:kern w:val="36"/>
          <w:sz w:val="32"/>
          <w:szCs w:val="32"/>
        </w:rPr>
      </w:pPr>
      <w:r w:rsidRPr="00481AD5">
        <w:rPr>
          <w:rFonts w:asciiTheme="minorEastAsia" w:hAnsiTheme="minorEastAsia" w:cs="宋体" w:hint="eastAsia"/>
          <w:b/>
          <w:color w:val="0E59A4"/>
          <w:kern w:val="36"/>
          <w:sz w:val="32"/>
          <w:szCs w:val="32"/>
        </w:rPr>
        <w:t>佛山市南海区住房城乡建设和水利局 广东电网有限责任公司佛山南海供电局关于室外公共停车场报装汽车充电设施的建设指引</w:t>
      </w:r>
    </w:p>
    <w:p w:rsidR="00000000" w:rsidRPr="00481AD5" w:rsidRDefault="000734D5" w:rsidP="00481AD5">
      <w:pPr>
        <w:spacing w:line="360" w:lineRule="auto"/>
        <w:rPr>
          <w:rFonts w:asciiTheme="minorEastAsia" w:hAnsiTheme="minorEastAsia" w:hint="eastAsia"/>
          <w:b/>
          <w:szCs w:val="21"/>
        </w:rPr>
      </w:pPr>
    </w:p>
    <w:p w:rsidR="00481AD5" w:rsidRPr="00481AD5" w:rsidRDefault="00481AD5" w:rsidP="00481AD5">
      <w:pPr>
        <w:pStyle w:val="a5"/>
        <w:shd w:val="clear" w:color="auto" w:fill="FFFFFF"/>
        <w:spacing w:before="225" w:beforeAutospacing="0" w:after="225" w:afterAutospacing="0" w:line="360" w:lineRule="auto"/>
        <w:jc w:val="center"/>
        <w:rPr>
          <w:rFonts w:asciiTheme="minorEastAsia" w:eastAsiaTheme="minorEastAsia" w:hAnsiTheme="minorEastAsia"/>
          <w:color w:val="333333"/>
          <w:sz w:val="21"/>
          <w:szCs w:val="21"/>
        </w:rPr>
      </w:pPr>
      <w:r w:rsidRPr="00481AD5">
        <w:rPr>
          <w:rFonts w:asciiTheme="minorEastAsia" w:eastAsiaTheme="minorEastAsia" w:hAnsiTheme="minorEastAsia" w:hint="eastAsia"/>
          <w:color w:val="333333"/>
          <w:sz w:val="21"/>
          <w:szCs w:val="21"/>
        </w:rPr>
        <w:t>南建水函〔2022〕29号</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t>各业主委员会、物业服务企业、开发建设单位、充电设施运营企业：</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t xml:space="preserve">　　近年来市民对新能源汽车充电设施的需求增加，为加快及规范物业管理区域内新能源汽车公共充电设施的建设流程，现发布关于室外公共停车场报装新能源汽车充电设施的建设指引，并请有关单位做好以下工作：</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t xml:space="preserve">　　一、住宅小区、商业建筑项目的业主委员会、物业服务企业、开发建设单位应推动在地面室外公共停车场加装新能源汽车公共充电设施，满足业主、周边用户充电需求。</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t xml:space="preserve">　　二、汽车充电设施应由有电动汽车充电基础设施运营或电动汽车充换电服务资格的企业按附件要求进行报装。</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t xml:space="preserve">　　三、充电设施运营企业应定期对充电设施及受电线路进行安全检查、维修保养，若因充电设施运营企业管理维护不当等造成安全事故，由其承担相应责任。物业服务企业应对运营企业做好督促工作。</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t xml:space="preserve">　　四、物业服务企业应加强对充电设施周边环境的日常巡查工作。发现安全隐患时，物业服务企业立即设置警示标识及做好安全围闭，并通知运营企业进行维修、整改。</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t xml:space="preserve">　　附件：南海区统一建设集中式充电设施报装要求</w:t>
      </w:r>
    </w:p>
    <w:p w:rsidR="00481AD5" w:rsidRPr="00481AD5" w:rsidRDefault="00481AD5" w:rsidP="00481AD5">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t xml:space="preserve">　　佛山市南海区住房城乡         广东电网有限责任公司</w:t>
      </w:r>
    </w:p>
    <w:p w:rsidR="00481AD5" w:rsidRPr="00481AD5" w:rsidRDefault="00481AD5" w:rsidP="00481AD5">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t xml:space="preserve">　　建设和水利局               佛山南海供电局</w:t>
      </w:r>
    </w:p>
    <w:p w:rsidR="00481AD5" w:rsidRDefault="00481AD5" w:rsidP="00481AD5">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t xml:space="preserve">　　2022年4月20日</w:t>
      </w:r>
    </w:p>
    <w:p w:rsidR="00481AD5" w:rsidRPr="00481AD5" w:rsidRDefault="00481AD5" w:rsidP="00481AD5">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lastRenderedPageBreak/>
        <w:t xml:space="preserve">　　附件</w:t>
      </w:r>
    </w:p>
    <w:p w:rsidR="00481AD5" w:rsidRPr="00481AD5" w:rsidRDefault="00481AD5" w:rsidP="00481AD5">
      <w:pPr>
        <w:pStyle w:val="a5"/>
        <w:shd w:val="clear" w:color="auto" w:fill="FFFFFF"/>
        <w:spacing w:before="225" w:beforeAutospacing="0" w:after="225" w:afterAutospacing="0" w:line="360" w:lineRule="auto"/>
        <w:jc w:val="center"/>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t xml:space="preserve">　</w:t>
      </w:r>
      <w:r w:rsidRPr="00481AD5">
        <w:rPr>
          <w:rStyle w:val="a6"/>
          <w:rFonts w:asciiTheme="minorEastAsia" w:eastAsiaTheme="minorEastAsia" w:hAnsiTheme="minorEastAsia" w:hint="eastAsia"/>
          <w:color w:val="333333"/>
          <w:sz w:val="21"/>
          <w:szCs w:val="21"/>
        </w:rPr>
        <w:t xml:space="preserve">　南海区统一建设集中式充电设施报装要求</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Style w:val="a6"/>
          <w:rFonts w:asciiTheme="minorEastAsia" w:eastAsiaTheme="minorEastAsia" w:hAnsiTheme="minorEastAsia" w:hint="eastAsia"/>
          <w:color w:val="333333"/>
          <w:sz w:val="21"/>
          <w:szCs w:val="21"/>
        </w:rPr>
        <w:t xml:space="preserve">　　一、报装主体：</w:t>
      </w:r>
      <w:r w:rsidRPr="00481AD5">
        <w:rPr>
          <w:rFonts w:asciiTheme="minorEastAsia" w:eastAsiaTheme="minorEastAsia" w:hAnsiTheme="minorEastAsia" w:hint="eastAsia"/>
          <w:color w:val="333333"/>
          <w:sz w:val="21"/>
          <w:szCs w:val="21"/>
        </w:rPr>
        <w:t>有电动汽车充电基础设施运营或电动汽车充换电服务资格的企业。</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Style w:val="a6"/>
          <w:rFonts w:asciiTheme="minorEastAsia" w:eastAsiaTheme="minorEastAsia" w:hAnsiTheme="minorEastAsia" w:hint="eastAsia"/>
          <w:color w:val="333333"/>
          <w:sz w:val="21"/>
          <w:szCs w:val="21"/>
        </w:rPr>
        <w:t xml:space="preserve">　　二、报装容量：</w:t>
      </w:r>
      <w:r w:rsidRPr="00481AD5">
        <w:rPr>
          <w:rFonts w:asciiTheme="minorEastAsia" w:eastAsiaTheme="minorEastAsia" w:hAnsiTheme="minorEastAsia" w:hint="eastAsia"/>
          <w:color w:val="333333"/>
          <w:sz w:val="21"/>
          <w:szCs w:val="21"/>
        </w:rPr>
        <w:t>低压供电的不超过200kW，如条件允许可考虑以专变形式报装。</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Style w:val="a6"/>
          <w:rFonts w:asciiTheme="minorEastAsia" w:eastAsiaTheme="minorEastAsia" w:hAnsiTheme="minorEastAsia" w:hint="eastAsia"/>
          <w:color w:val="333333"/>
          <w:sz w:val="21"/>
          <w:szCs w:val="21"/>
        </w:rPr>
        <w:t xml:space="preserve">　　三、报装资料：</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t xml:space="preserve">　　（一）企业法人身份证明材料，复印件1份。</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t xml:space="preserve">　　（二）企业营业执照，复印件1份。</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t xml:space="preserve">　　（三）公共区域车位的物业权属证明材料，或提供业主委员会、物业委员会或者物业管理公司出具的车位使用权（使用权一年及以上）证明文件。如车位为充换电服务企业租用，则提供租赁关系的证明文件（租赁合同）载明使用权需在一年及以上。原件或复印件1份。</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t xml:space="preserve">　　（四）经业主委员会或物业管理公司出具的充电基础设施建设同意书，原件1份。</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Fonts w:asciiTheme="minorEastAsia" w:eastAsiaTheme="minorEastAsia" w:hAnsiTheme="minorEastAsia" w:hint="eastAsia"/>
          <w:color w:val="333333"/>
          <w:sz w:val="21"/>
          <w:szCs w:val="21"/>
        </w:rPr>
        <w:t xml:space="preserve">　　以上材料如为复印件的，需要提供原件核对并加盖公章。具体提交材料也可咨询现场勘察工作人员。</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Style w:val="a6"/>
          <w:rFonts w:asciiTheme="minorEastAsia" w:eastAsiaTheme="minorEastAsia" w:hAnsiTheme="minorEastAsia" w:hint="eastAsia"/>
          <w:color w:val="333333"/>
          <w:sz w:val="21"/>
          <w:szCs w:val="21"/>
        </w:rPr>
        <w:t xml:space="preserve">　　四、报装渠道：</w:t>
      </w:r>
      <w:r w:rsidRPr="00481AD5">
        <w:rPr>
          <w:rFonts w:asciiTheme="minorEastAsia" w:eastAsiaTheme="minorEastAsia" w:hAnsiTheme="minorEastAsia" w:hint="eastAsia"/>
          <w:color w:val="333333"/>
          <w:sz w:val="21"/>
          <w:szCs w:val="21"/>
        </w:rPr>
        <w:t>南方电网95598微信公众号/南网在线APP、各镇（街道）供电营业厅/行政服务中心。</w:t>
      </w:r>
    </w:p>
    <w:p w:rsidR="00481AD5" w:rsidRPr="00481AD5" w:rsidRDefault="00481AD5" w:rsidP="00481AD5">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481AD5">
        <w:rPr>
          <w:rStyle w:val="a6"/>
          <w:rFonts w:asciiTheme="minorEastAsia" w:eastAsiaTheme="minorEastAsia" w:hAnsiTheme="minorEastAsia" w:hint="eastAsia"/>
          <w:color w:val="333333"/>
          <w:sz w:val="21"/>
          <w:szCs w:val="21"/>
        </w:rPr>
        <w:t xml:space="preserve">　　五、咨询电话：</w:t>
      </w:r>
      <w:r w:rsidRPr="00481AD5">
        <w:rPr>
          <w:rFonts w:asciiTheme="minorEastAsia" w:eastAsiaTheme="minorEastAsia" w:hAnsiTheme="minorEastAsia" w:hint="eastAsia"/>
          <w:color w:val="333333"/>
          <w:sz w:val="21"/>
          <w:szCs w:val="21"/>
        </w:rPr>
        <w:t>95598。</w:t>
      </w:r>
    </w:p>
    <w:p w:rsidR="00481AD5" w:rsidRPr="00481AD5" w:rsidRDefault="00481AD5" w:rsidP="00481AD5">
      <w:pPr>
        <w:spacing w:line="360" w:lineRule="auto"/>
        <w:rPr>
          <w:rFonts w:asciiTheme="minorEastAsia" w:hAnsiTheme="minorEastAsia" w:hint="eastAsia"/>
          <w:b/>
          <w:szCs w:val="21"/>
        </w:rPr>
      </w:pPr>
    </w:p>
    <w:p w:rsidR="00481AD5" w:rsidRPr="00481AD5" w:rsidRDefault="00481AD5"/>
    <w:sectPr w:rsidR="00481AD5" w:rsidRPr="00481AD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34D5" w:rsidRDefault="000734D5" w:rsidP="00481AD5">
      <w:r>
        <w:separator/>
      </w:r>
    </w:p>
  </w:endnote>
  <w:endnote w:type="continuationSeparator" w:id="1">
    <w:p w:rsidR="000734D5" w:rsidRDefault="000734D5" w:rsidP="00481AD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34D5" w:rsidRDefault="000734D5" w:rsidP="00481AD5">
      <w:r>
        <w:separator/>
      </w:r>
    </w:p>
  </w:footnote>
  <w:footnote w:type="continuationSeparator" w:id="1">
    <w:p w:rsidR="000734D5" w:rsidRDefault="000734D5" w:rsidP="00481AD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81AD5"/>
    <w:rsid w:val="000734D5"/>
    <w:rsid w:val="00481AD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81AD5"/>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81AD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81AD5"/>
    <w:rPr>
      <w:sz w:val="18"/>
      <w:szCs w:val="18"/>
    </w:rPr>
  </w:style>
  <w:style w:type="paragraph" w:styleId="a4">
    <w:name w:val="footer"/>
    <w:basedOn w:val="a"/>
    <w:link w:val="Char0"/>
    <w:uiPriority w:val="99"/>
    <w:semiHidden/>
    <w:unhideWhenUsed/>
    <w:rsid w:val="00481AD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81AD5"/>
    <w:rPr>
      <w:sz w:val="18"/>
      <w:szCs w:val="18"/>
    </w:rPr>
  </w:style>
  <w:style w:type="character" w:customStyle="1" w:styleId="1Char">
    <w:name w:val="标题 1 Char"/>
    <w:basedOn w:val="a0"/>
    <w:link w:val="1"/>
    <w:uiPriority w:val="9"/>
    <w:rsid w:val="00481AD5"/>
    <w:rPr>
      <w:rFonts w:ascii="宋体" w:eastAsia="宋体" w:hAnsi="宋体" w:cs="宋体"/>
      <w:b/>
      <w:bCs/>
      <w:kern w:val="36"/>
      <w:sz w:val="48"/>
      <w:szCs w:val="48"/>
    </w:rPr>
  </w:style>
  <w:style w:type="paragraph" w:styleId="a5">
    <w:name w:val="Normal (Web)"/>
    <w:basedOn w:val="a"/>
    <w:uiPriority w:val="99"/>
    <w:semiHidden/>
    <w:unhideWhenUsed/>
    <w:rsid w:val="00481AD5"/>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481AD5"/>
    <w:rPr>
      <w:b/>
      <w:bCs/>
    </w:rPr>
  </w:style>
  <w:style w:type="paragraph" w:styleId="a7">
    <w:name w:val="Date"/>
    <w:basedOn w:val="a"/>
    <w:next w:val="a"/>
    <w:link w:val="Char1"/>
    <w:uiPriority w:val="99"/>
    <w:semiHidden/>
    <w:unhideWhenUsed/>
    <w:rsid w:val="00481AD5"/>
    <w:pPr>
      <w:ind w:leftChars="2500" w:left="100"/>
    </w:pPr>
  </w:style>
  <w:style w:type="character" w:customStyle="1" w:styleId="Char1">
    <w:name w:val="日期 Char"/>
    <w:basedOn w:val="a0"/>
    <w:link w:val="a7"/>
    <w:uiPriority w:val="99"/>
    <w:semiHidden/>
    <w:rsid w:val="00481AD5"/>
  </w:style>
</w:styles>
</file>

<file path=word/webSettings.xml><?xml version="1.0" encoding="utf-8"?>
<w:webSettings xmlns:r="http://schemas.openxmlformats.org/officeDocument/2006/relationships" xmlns:w="http://schemas.openxmlformats.org/wordprocessingml/2006/main">
  <w:divs>
    <w:div w:id="998655296">
      <w:bodyDiv w:val="1"/>
      <w:marLeft w:val="0"/>
      <w:marRight w:val="0"/>
      <w:marTop w:val="0"/>
      <w:marBottom w:val="0"/>
      <w:divBdr>
        <w:top w:val="none" w:sz="0" w:space="0" w:color="auto"/>
        <w:left w:val="none" w:sz="0" w:space="0" w:color="auto"/>
        <w:bottom w:val="none" w:sz="0" w:space="0" w:color="auto"/>
        <w:right w:val="none" w:sz="0" w:space="0" w:color="auto"/>
      </w:divBdr>
    </w:div>
    <w:div w:id="1858083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153</Words>
  <Characters>875</Characters>
  <Application>Microsoft Office Word</Application>
  <DocSecurity>0</DocSecurity>
  <Lines>7</Lines>
  <Paragraphs>2</Paragraphs>
  <ScaleCrop>false</ScaleCrop>
  <Company>Regaltec</Company>
  <LinksUpToDate>false</LinksUpToDate>
  <CharactersWithSpaces>1026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2022-04-24T02:06:00Z</dcterms:created>
  <dcterms:modified xsi:type="dcterms:W3CDTF">2022-04-24T02:07:00Z</dcterms:modified>
</cp:coreProperties>
</file>