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EB7" w:rsidRDefault="00A77EB7">
      <w:pPr>
        <w:spacing w:line="560" w:lineRule="exact"/>
        <w:outlineLvl w:val="0"/>
        <w:rPr>
          <w:rFonts w:ascii="黑体" w:eastAsia="黑体" w:hAnsi="黑体" w:cs="黑体"/>
          <w:bCs/>
          <w:spacing w:val="2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bCs/>
          <w:spacing w:val="2"/>
          <w:sz w:val="32"/>
          <w:szCs w:val="32"/>
          <w:lang w:eastAsia="zh-CN"/>
        </w:rPr>
        <w:t>附件</w:t>
      </w:r>
      <w:r>
        <w:rPr>
          <w:rFonts w:ascii="黑体" w:eastAsia="黑体" w:hAnsi="黑体" w:cs="黑体"/>
          <w:bCs/>
          <w:spacing w:val="2"/>
          <w:sz w:val="32"/>
          <w:szCs w:val="32"/>
          <w:lang w:eastAsia="zh-CN"/>
        </w:rPr>
        <w:t>2</w:t>
      </w:r>
    </w:p>
    <w:p w:rsidR="00A77EB7" w:rsidRDefault="00A77EB7">
      <w:pPr>
        <w:spacing w:line="560" w:lineRule="exact"/>
        <w:outlineLvl w:val="0"/>
        <w:rPr>
          <w:rFonts w:ascii="黑体" w:eastAsia="黑体" w:hAnsi="黑体" w:cs="黑体"/>
          <w:bCs/>
          <w:spacing w:val="2"/>
          <w:sz w:val="32"/>
          <w:szCs w:val="32"/>
          <w:lang w:eastAsia="zh-CN"/>
        </w:rPr>
      </w:pPr>
    </w:p>
    <w:p w:rsidR="00A77EB7" w:rsidRDefault="00A77EB7">
      <w:pPr>
        <w:spacing w:line="560" w:lineRule="exact"/>
        <w:jc w:val="center"/>
        <w:outlineLvl w:val="0"/>
        <w:rPr>
          <w:rFonts w:ascii="方正小标宋简体" w:eastAsia="方正小标宋简体" w:hAnsi="方正小标宋简体" w:cs="方正小标宋简体"/>
          <w:bCs/>
          <w:spacing w:val="2"/>
          <w:sz w:val="44"/>
          <w:szCs w:val="44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bCs/>
          <w:spacing w:val="2"/>
          <w:sz w:val="44"/>
          <w:szCs w:val="44"/>
          <w:lang w:eastAsia="zh-CN"/>
        </w:rPr>
        <w:t>佛山市绿色建材试点项目应用绿色</w:t>
      </w:r>
    </w:p>
    <w:p w:rsidR="00A77EB7" w:rsidRDefault="00A77EB7">
      <w:pPr>
        <w:spacing w:line="560" w:lineRule="exact"/>
        <w:jc w:val="center"/>
        <w:outlineLvl w:val="0"/>
        <w:rPr>
          <w:rFonts w:ascii="方正小标宋简体" w:eastAsia="方正小标宋简体" w:hAnsi="方正小标宋简体" w:cs="方正小标宋简体"/>
          <w:bCs/>
          <w:spacing w:val="2"/>
          <w:sz w:val="44"/>
          <w:szCs w:val="44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bCs/>
          <w:spacing w:val="2"/>
          <w:sz w:val="44"/>
          <w:szCs w:val="44"/>
          <w:lang w:eastAsia="zh-CN"/>
        </w:rPr>
        <w:t>建材技术指引</w:t>
      </w:r>
    </w:p>
    <w:p w:rsidR="00A77EB7" w:rsidRDefault="00A77EB7">
      <w:pPr>
        <w:spacing w:line="560" w:lineRule="exact"/>
        <w:jc w:val="center"/>
        <w:outlineLvl w:val="0"/>
        <w:rPr>
          <w:rFonts w:ascii="Times New Roman" w:eastAsia="仿宋_GB2312" w:hAnsi="Times New Roman"/>
          <w:b/>
          <w:spacing w:val="2"/>
          <w:sz w:val="44"/>
          <w:szCs w:val="44"/>
          <w:lang w:eastAsia="zh-CN"/>
        </w:rPr>
      </w:pP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黑体" w:eastAsia="黑体" w:hAnsi="黑体" w:cs="黑体"/>
          <w:bCs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bCs/>
          <w:spacing w:val="-1"/>
          <w:sz w:val="32"/>
          <w:szCs w:val="32"/>
          <w:lang w:eastAsia="zh-CN"/>
        </w:rPr>
        <w:t>一、基本要求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1.1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为加快推广绿色建材应用，促进绿色建筑品质提升，推动佛山市绿色建材试点项目规范化实施，制定本指引。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1.2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本指引适用于佛山市绿色建材试点项目的绿色建材应用。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1.3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本指引所指“绿色建材”是《佛山市绿色建材基本要求（试行）》中提到的建筑材料（含设备设施）。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黑体" w:eastAsia="黑体" w:hAnsi="黑体" w:cs="黑体"/>
          <w:bCs/>
          <w:spacing w:val="-1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bCs/>
          <w:spacing w:val="-1"/>
          <w:sz w:val="32"/>
          <w:szCs w:val="32"/>
          <w:lang w:eastAsia="zh-CN"/>
        </w:rPr>
        <w:t>二、试点项目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2.1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试点项目是指国有资金参与投资建设的医院、学校、办公楼、综合体、展览馆、会展中心、体育馆、保障性住房等八大类新建工程项目，以及符合试点条件的已开工项目。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2.2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试点项目应满足我市绿色建筑相关要求。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黑体" w:eastAsia="黑体" w:hAnsi="黑体" w:cs="黑体"/>
          <w:bCs/>
          <w:spacing w:val="-1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bCs/>
          <w:spacing w:val="-1"/>
          <w:sz w:val="32"/>
          <w:szCs w:val="32"/>
          <w:lang w:eastAsia="zh-CN"/>
        </w:rPr>
        <w:t>三、绿色建材应用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3.1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根据工程实践与建材特性，结合佛山当地的建材产业现状，从安全环保、节能节材、工程用量、产业发展等维度，将绿色建材分为“必选绿色建材”与“可选绿色建材”。</w:t>
      </w:r>
    </w:p>
    <w:p w:rsidR="00A77EB7" w:rsidRDefault="00A77EB7" w:rsidP="00B07671">
      <w:pPr>
        <w:pStyle w:val="BodyText"/>
        <w:tabs>
          <w:tab w:val="left" w:pos="828"/>
        </w:tabs>
        <w:spacing w:before="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3.2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被列为“必选绿色建材”的，试点项目如有应用相关类别建材则必须使用绿色建材（应用比例原则上为</w:t>
      </w:r>
      <w:r>
        <w:rPr>
          <w:rFonts w:ascii="仿宋_GB2312" w:eastAsia="仿宋_GB2312" w:hAnsi="仿宋_GB2312" w:cs="仿宋_GB2312"/>
          <w:sz w:val="32"/>
          <w:szCs w:val="32"/>
          <w:lang w:eastAsia="zh-CN"/>
        </w:rPr>
        <w:t>100%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）。“必选绿色建材”共</w:t>
      </w:r>
      <w:r>
        <w:rPr>
          <w:rFonts w:ascii="仿宋_GB2312" w:eastAsia="仿宋_GB2312" w:hAnsi="仿宋_GB2312" w:cs="仿宋_GB2312"/>
          <w:sz w:val="32"/>
          <w:szCs w:val="32"/>
          <w:lang w:eastAsia="zh-CN"/>
        </w:rPr>
        <w:t>13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类，主要材料如下表所示：</w:t>
      </w:r>
    </w:p>
    <w:p w:rsidR="00A77EB7" w:rsidRDefault="00A77EB7">
      <w:pPr>
        <w:pStyle w:val="BodyText"/>
        <w:tabs>
          <w:tab w:val="left" w:pos="828"/>
        </w:tabs>
        <w:spacing w:before="0"/>
        <w:ind w:left="0"/>
        <w:jc w:val="center"/>
        <w:rPr>
          <w:rFonts w:ascii="方正小标宋简体" w:eastAsia="方正小标宋简体" w:hAnsi="方正小标宋简体" w:cs="方正小标宋简体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  <w:lang w:eastAsia="zh-CN"/>
        </w:rPr>
        <w:t>表</w:t>
      </w:r>
      <w:r>
        <w:rPr>
          <w:rFonts w:ascii="方正小标宋简体" w:eastAsia="方正小标宋简体" w:hAnsi="方正小标宋简体" w:cs="方正小标宋简体"/>
          <w:sz w:val="32"/>
          <w:szCs w:val="32"/>
          <w:lang w:eastAsia="zh-CN"/>
        </w:rPr>
        <w:t xml:space="preserve">3.2  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  <w:lang w:eastAsia="zh-CN"/>
        </w:rPr>
        <w:t>试点项目必选绿色建材表</w:t>
      </w:r>
    </w:p>
    <w:tbl>
      <w:tblPr>
        <w:tblW w:w="88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0"/>
        <w:gridCol w:w="2039"/>
        <w:gridCol w:w="6005"/>
      </w:tblGrid>
      <w:tr w:rsidR="00A77EB7" w:rsidRPr="00E15DB3">
        <w:trPr>
          <w:trHeight w:hRule="exact" w:val="680"/>
          <w:tblHeader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黑体" w:eastAsia="黑体" w:hAnsi="黑体" w:cs="黑体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黑体" w:eastAsia="黑体" w:hAnsi="黑体" w:cs="黑体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24"/>
                <w:lang w:eastAsia="zh-CN"/>
              </w:rPr>
              <w:t>材料种类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黑体" w:eastAsia="黑体" w:hAnsi="黑体" w:cs="黑体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24"/>
                <w:lang w:eastAsia="zh-CN"/>
              </w:rPr>
              <w:t>产品类别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混凝土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预拌混凝土、预制混凝土构件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lang w:eastAsia="zh-CN"/>
              </w:rPr>
              <w:t>；</w:t>
            </w:r>
          </w:p>
        </w:tc>
      </w:tr>
      <w:tr w:rsidR="00A77EB7" w:rsidRPr="00E15DB3">
        <w:trPr>
          <w:trHeight w:hRule="exact" w:val="893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预拌砂浆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湿拌砂浆、干混砌筑砂浆、干混抹灰砂浆、干混地面砂浆、干混普通防水砂浆、瓷砖胶粘剂、瓷砖填缝剂；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墙体材料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墙板材料、非烧结类砌体材料；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吊顶（隔断）材料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纸面石膏板、矿棉吸声板、集成吊顶；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陶瓷砖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内（外）墙瓷砖、地面瓷砖；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卫生洁具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小便器、蹲便器、坐便器；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建筑门窗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门（含户门）、窗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(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平开窗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)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、型材及配件；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8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管材管件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塑料管材管件、金属管材管件；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涂料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水性墙面涂料、无机干粉涂覆材料、反射隔热涂料、空气净化材料；</w:t>
            </w:r>
          </w:p>
        </w:tc>
      </w:tr>
      <w:tr w:rsidR="00A77EB7" w:rsidRPr="00E15DB3">
        <w:trPr>
          <w:trHeight w:hRule="exact" w:val="984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密封胶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硅酮密封胶、中空玻璃用丁基热熔密封胶、建筑用聚氨酯密封胶、建筑用聚硫密封胶、建筑用硅烷封端聚醚密封胶；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防水材料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防水涂料、防水卷材；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地坪材料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水性树脂地坪材料、水性聚氨酯地坪材料、无溶剂树脂地坪材料；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照明产品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室内（外）照明用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LED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灯具、城市照明用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LED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灯、采光系统（采光罩、导光管）。</w:t>
            </w:r>
          </w:p>
        </w:tc>
      </w:tr>
    </w:tbl>
    <w:p w:rsidR="00A77EB7" w:rsidRDefault="00A77EB7" w:rsidP="00A77EB7">
      <w:pPr>
        <w:pStyle w:val="BodyText"/>
        <w:tabs>
          <w:tab w:val="left" w:pos="828"/>
        </w:tabs>
        <w:spacing w:before="120" w:line="560" w:lineRule="exact"/>
        <w:ind w:left="0" w:firstLineChars="200" w:firstLine="3168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_GB2312" w:eastAsia="仿宋_GB2312" w:hAnsi="仿宋_GB2312" w:cs="仿宋_GB2312"/>
          <w:sz w:val="32"/>
          <w:szCs w:val="32"/>
          <w:lang w:eastAsia="zh-CN"/>
        </w:rPr>
        <w:t xml:space="preserve">3.3 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被列为“可选绿色建材”的，试点项目应至少选用</w:t>
      </w:r>
      <w:r>
        <w:rPr>
          <w:rFonts w:ascii="仿宋_GB2312" w:eastAsia="仿宋_GB2312" w:hAnsi="仿宋_GB2312" w:cs="仿宋_GB2312"/>
          <w:sz w:val="32"/>
          <w:szCs w:val="32"/>
          <w:lang w:eastAsia="zh-CN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类绿色建材（应用比例原则上为</w:t>
      </w:r>
      <w:r>
        <w:rPr>
          <w:rFonts w:ascii="仿宋_GB2312" w:eastAsia="仿宋_GB2312" w:hAnsi="仿宋_GB2312" w:cs="仿宋_GB2312"/>
          <w:sz w:val="32"/>
          <w:szCs w:val="32"/>
          <w:lang w:eastAsia="zh-CN"/>
        </w:rPr>
        <w:t>100%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）。“可选绿色建材”包括了除</w:t>
      </w:r>
      <w:r>
        <w:rPr>
          <w:rFonts w:ascii="仿宋_GB2312" w:eastAsia="仿宋_GB2312" w:hAnsi="仿宋_GB2312" w:cs="仿宋_GB2312"/>
          <w:sz w:val="32"/>
          <w:szCs w:val="32"/>
          <w:lang w:eastAsia="zh-CN"/>
        </w:rPr>
        <w:t>3.2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规定的“必选绿色建材”之外的且被纳入《基本要求》的其他绿色建材，主要材料如下表所示：</w:t>
      </w:r>
    </w:p>
    <w:p w:rsidR="00A77EB7" w:rsidRDefault="00A77EB7">
      <w:pPr>
        <w:pStyle w:val="BodyText"/>
        <w:tabs>
          <w:tab w:val="left" w:pos="828"/>
        </w:tabs>
        <w:spacing w:before="0"/>
        <w:ind w:left="0"/>
        <w:jc w:val="center"/>
        <w:rPr>
          <w:rFonts w:ascii="方正小标宋简体" w:eastAsia="方正小标宋简体" w:hAnsi="方正小标宋简体" w:cs="方正小标宋简体"/>
          <w:sz w:val="32"/>
          <w:szCs w:val="32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  <w:lang w:eastAsia="zh-CN"/>
        </w:rPr>
        <w:t>表</w:t>
      </w:r>
      <w:r>
        <w:rPr>
          <w:rFonts w:ascii="方正小标宋简体" w:eastAsia="方正小标宋简体" w:hAnsi="方正小标宋简体" w:cs="方正小标宋简体"/>
          <w:sz w:val="32"/>
          <w:szCs w:val="32"/>
          <w:lang w:eastAsia="zh-CN"/>
        </w:rPr>
        <w:t xml:space="preserve">3.3    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  <w:lang w:eastAsia="zh-CN"/>
        </w:rPr>
        <w:t>试点项目可选绿色建材表</w:t>
      </w:r>
    </w:p>
    <w:tbl>
      <w:tblPr>
        <w:tblW w:w="88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0"/>
        <w:gridCol w:w="2039"/>
        <w:gridCol w:w="6005"/>
      </w:tblGrid>
      <w:tr w:rsidR="00A77EB7" w:rsidRPr="00E15DB3">
        <w:trPr>
          <w:trHeight w:hRule="exact" w:val="680"/>
          <w:tblHeader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黑体" w:eastAsia="黑体" w:hAnsi="黑体" w:cs="黑体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黑体" w:eastAsia="黑体" w:hAnsi="黑体" w:cs="黑体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24"/>
                <w:lang w:eastAsia="zh-CN"/>
              </w:rPr>
              <w:t>材料种类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黑体" w:eastAsia="黑体" w:hAnsi="黑体" w:cs="黑体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24"/>
                <w:lang w:eastAsia="zh-CN"/>
              </w:rPr>
              <w:t>产品类别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木结构用材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原木方木、原木规格材、木基结构板、结构复合木材、（正交）胶合木；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玻璃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建筑节能玻璃，包括钢化玻璃、夹层玻璃、中空玻璃；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保温隔热材料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岩棉、挤塑聚苯乙烯泡沫塑料制品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XPS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、模塑聚苯乙烯泡沫塑料制品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EPS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、玻璃棉；</w:t>
            </w:r>
          </w:p>
        </w:tc>
      </w:tr>
      <w:tr w:rsidR="00A77EB7" w:rsidRPr="00E15DB3">
        <w:trPr>
          <w:trHeight w:hRule="exact" w:val="1342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遮阳产品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建筑遮阳产品、建筑用遮阳金属百叶窗、建筑用遮阳天蓬帘、建筑用曲臂遮阳蓬、建筑用遮阳软卷帘、内置遮阳中空玻璃制品、建筑用铝合金遮阳板、建筑遮阳硬卷帘；</w:t>
            </w:r>
          </w:p>
        </w:tc>
      </w:tr>
      <w:tr w:rsidR="00A77EB7" w:rsidRPr="00E15DB3">
        <w:trPr>
          <w:trHeight w:hRule="exact" w:val="1342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建筑门窗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推拉窗及其配件；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建筑幕墙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幕墙玻璃与型材；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集成墙面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室内装饰用金属集成墙面、竹木纤维集成墙面、石塑集成墙面；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8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木地板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木地板、人造板；</w:t>
            </w:r>
          </w:p>
        </w:tc>
      </w:tr>
      <w:tr w:rsidR="00A77EB7" w:rsidRPr="00E15DB3">
        <w:trPr>
          <w:trHeight w:hRule="exact" w:val="1711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金属复合装饰材料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幕墙用铝塑复合板、普通装饰用铝塑复合板、建筑装饰用铝单板、金属及金属复合材料吊顶板、铝波纹芯复合铝板、建筑装饰用单涂层氟碳铝板（带）、建筑装饰用烤瓷铝板、建筑外墙用铝蜂窝复合板、建筑用钛锌合金饰面复合板、建筑装饰用彩钢板；</w:t>
            </w:r>
          </w:p>
        </w:tc>
      </w:tr>
      <w:tr w:rsidR="00A77EB7" w:rsidRPr="00E15DB3">
        <w:trPr>
          <w:trHeight w:hRule="exact" w:val="1423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无机装饰板材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无石棉纤维水泥平板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、无石棉硅酸钙板、吸声用穿孔纤维水泥板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、纤维增强低碱度水泥建筑平板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、维纶纤维增强水泥平板</w:t>
            </w: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、外墙用非承重纤维增强水泥板、玻镁平板、建筑用菱镁装饰板；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木塑制品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木塑装饰板、木塑地板、建筑模板用木塑复合板；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运动场地材料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合成材料面层运动场地；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五金配件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水嘴、建筑用阀门、闸阀、蝶阀、球阀、截止阀、止回阀、螺纹连接阀门；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14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  <w:lang w:eastAsia="zh-CN"/>
              </w:rPr>
              <w:t>其他材料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  <w:lang w:eastAsia="zh-CN"/>
              </w:rPr>
              <w:t>混凝土隔断、金属隔断、木隔断；壁纸壁布；石材；</w:t>
            </w:r>
          </w:p>
          <w:p w:rsidR="00A77EB7" w:rsidRDefault="00A77EB7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  <w:lang w:eastAsia="zh-CN"/>
              </w:rPr>
              <w:t>家具；不锈钢围护栏；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15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水处理设备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中水处理设备、净水设备、软化设备、油脂分离器、游泳池循环水处理设备、雨水处理设备；</w:t>
            </w:r>
          </w:p>
        </w:tc>
      </w:tr>
      <w:tr w:rsidR="00A77EB7" w:rsidRPr="00E15DB3">
        <w:trPr>
          <w:trHeight w:hRule="exact" w:val="1124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16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pStyle w:val="Heading3"/>
              <w:adjustRightInd w:val="0"/>
              <w:spacing w:before="0" w:after="0" w:line="240" w:lineRule="auto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color w:val="000000"/>
                <w:sz w:val="24"/>
                <w:szCs w:val="24"/>
                <w:lang w:eastAsia="zh-CN"/>
              </w:rPr>
              <w:t>冷热源设备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冷水机组、冷热风型空气源热泵机组、冷热水型空气源热泵机组、地源热泵机组、蓄热型电加热装置、相变蓄冷蓄热装置、蓄热式电供暖散热器；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17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通风系统设备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空调机组、新风净化系统；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18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太阳能利用设备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 w:rsidP="00E15DB3">
            <w:pPr>
              <w:spacing w:beforeLines="50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太阳能光伏发电系统、光伏组件；太阳能热水系统；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50" w:type="dxa"/>
            <w:noWrap/>
            <w:vAlign w:val="center"/>
          </w:tcPr>
          <w:p w:rsidR="00A77EB7" w:rsidRDefault="00A77EB7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19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 w:rsidP="00E15DB3">
            <w:pPr>
              <w:spacing w:beforeLines="50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建筑电气设备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高低压配电柜（板）、密集绝缘母线槽、电线电缆；</w:t>
            </w:r>
          </w:p>
        </w:tc>
      </w:tr>
      <w:tr w:rsidR="00A77EB7" w:rsidRPr="00E15DB3">
        <w:trPr>
          <w:trHeight w:hRule="exact" w:val="2027"/>
          <w:jc w:val="center"/>
        </w:trPr>
        <w:tc>
          <w:tcPr>
            <w:tcW w:w="850" w:type="dxa"/>
            <w:noWrap/>
            <w:vAlign w:val="center"/>
          </w:tcPr>
          <w:p w:rsidR="00A77EB7" w:rsidRDefault="00A77EB7" w:rsidP="00A77EB7">
            <w:pPr>
              <w:widowControl/>
              <w:ind w:left="31680" w:hangingChars="213" w:firstLine="31680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>20</w:t>
            </w:r>
          </w:p>
        </w:tc>
        <w:tc>
          <w:tcPr>
            <w:tcW w:w="2039" w:type="dxa"/>
            <w:noWrap/>
            <w:vAlign w:val="center"/>
          </w:tcPr>
          <w:p w:rsidR="00A77EB7" w:rsidRDefault="00A77EB7" w:rsidP="00E15DB3">
            <w:pPr>
              <w:spacing w:beforeLines="50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其他设备</w:t>
            </w:r>
          </w:p>
        </w:tc>
        <w:tc>
          <w:tcPr>
            <w:tcW w:w="6005" w:type="dxa"/>
            <w:noWrap/>
            <w:vAlign w:val="center"/>
          </w:tcPr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1.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设备隔振降噪装置：阻尼隔振器、阻尼弹簧隔振器、通风消声器；</w:t>
            </w:r>
          </w:p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2.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控制与计量设备：冷热量表、数字控制器、数据采集器、建筑能源监控系统、电子式电能表、光电直读水表；</w:t>
            </w:r>
          </w:p>
          <w:p w:rsidR="00A77EB7" w:rsidRDefault="00A77EB7">
            <w:pP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  <w:t xml:space="preserve">3.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机械式停车设备。</w:t>
            </w:r>
          </w:p>
        </w:tc>
      </w:tr>
      <w:tr w:rsidR="00A77EB7" w:rsidRPr="00E15DB3">
        <w:trPr>
          <w:trHeight w:hRule="exact" w:val="680"/>
          <w:jc w:val="center"/>
        </w:trPr>
        <w:tc>
          <w:tcPr>
            <w:tcW w:w="8894" w:type="dxa"/>
            <w:gridSpan w:val="3"/>
            <w:noWrap/>
            <w:vAlign w:val="center"/>
          </w:tcPr>
          <w:p w:rsidR="00A77EB7" w:rsidRDefault="00A77EB7" w:rsidP="00A77EB7">
            <w:pPr>
              <w:widowControl/>
              <w:ind w:left="31680" w:hangingChars="213" w:firstLine="31680"/>
              <w:rPr>
                <w:rFonts w:ascii="仿宋_GB2312" w:eastAsia="仿宋_GB2312" w:hAnsi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eastAsia="zh-CN"/>
              </w:rPr>
              <w:t>注：因篇幅限制，“可选绿色建材”还应包括其他被列入《基本要求》但未在本表中载明其他绿色建材。</w:t>
            </w:r>
          </w:p>
        </w:tc>
      </w:tr>
    </w:tbl>
    <w:p w:rsidR="00A77EB7" w:rsidRDefault="00A77EB7" w:rsidP="00A77EB7">
      <w:pPr>
        <w:pStyle w:val="BodyText"/>
        <w:tabs>
          <w:tab w:val="left" w:pos="828"/>
        </w:tabs>
        <w:spacing w:before="0" w:line="360" w:lineRule="auto"/>
        <w:ind w:left="0" w:firstLineChars="200" w:firstLine="31680"/>
        <w:rPr>
          <w:rFonts w:ascii="仿宋_GB2312" w:eastAsia="仿宋_GB2312" w:hAnsi="Times New Roman"/>
          <w:sz w:val="28"/>
          <w:szCs w:val="28"/>
          <w:lang w:eastAsia="zh-CN"/>
        </w:rPr>
      </w:pPr>
    </w:p>
    <w:sectPr w:rsidR="00A77EB7" w:rsidSect="00B07671">
      <w:headerReference w:type="default" r:id="rId6"/>
      <w:footerReference w:type="default" r:id="rId7"/>
      <w:pgSz w:w="11910" w:h="16840" w:code="9"/>
      <w:pgMar w:top="2098" w:right="1474" w:bottom="1985" w:left="1588" w:header="624" w:footer="1531" w:gutter="0"/>
      <w:cols w:space="0"/>
      <w:docGrid w:type="linesAndChars" w:linePitch="600" w:charSpace="-33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7EB7" w:rsidRDefault="00A77EB7" w:rsidP="00A73F64">
      <w:r>
        <w:separator/>
      </w:r>
    </w:p>
  </w:endnote>
  <w:endnote w:type="continuationSeparator" w:id="1">
    <w:p w:rsidR="00A77EB7" w:rsidRDefault="00A77EB7" w:rsidP="00A73F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光小标宋_CNKI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um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仿宋_GB2312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7EB7" w:rsidRDefault="00A77EB7">
    <w:pPr>
      <w:pStyle w:val="Footer"/>
      <w:jc w:val="center"/>
      <w:rPr>
        <w:rFonts w:ascii="Times New Roman" w:hAnsi="Times New Roman"/>
        <w:sz w:val="21"/>
        <w:szCs w:val="21"/>
      </w:rPr>
    </w:pPr>
    <w:r>
      <w:rPr>
        <w:noProof/>
        <w:lang w:eastAsia="zh-CN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104pt;margin-top:0;width:2in;height:2in;z-index:251660288;mso-wrap-style:none;mso-position-horizontal:outside;mso-position-horizontal-relative:margin" filled="f" stroked="f" strokeweight=".5pt">
          <v:textbox style="mso-fit-shape-to-text:t" inset="0,0,0,0">
            <w:txbxContent>
              <w:p w:rsidR="00A77EB7" w:rsidRDefault="00A77EB7">
                <w:pPr>
                  <w:pStyle w:val="Footer"/>
                  <w:jc w:val="center"/>
                  <w:rPr>
                    <w:rFonts w:ascii="Times New Roman" w:hAnsi="Times New Roman"/>
                    <w:sz w:val="21"/>
                    <w:szCs w:val="21"/>
                  </w:rPr>
                </w:pPr>
                <w:r>
                  <w:rPr>
                    <w:sz w:val="28"/>
                    <w:szCs w:val="28"/>
                    <w:lang w:eastAsia="zh-CN"/>
                  </w:rPr>
                  <w:t>—</w:t>
                </w:r>
                <w:r>
                  <w:rPr>
                    <w:rFonts w:ascii="Times New Roman" w:hAnsi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ascii="Times New Roman" w:hAnsi="Times New Roman"/>
                    <w:sz w:val="28"/>
                    <w:szCs w:val="28"/>
                  </w:rPr>
                  <w:instrText>PAGE   \* MERGEFORMAT</w:instrText>
                </w:r>
                <w:r>
                  <w:rPr>
                    <w:rFonts w:ascii="Times New Roman" w:hAnsi="Times New Roman"/>
                    <w:sz w:val="28"/>
                    <w:szCs w:val="28"/>
                  </w:rPr>
                  <w:fldChar w:fldCharType="separate"/>
                </w:r>
                <w:r w:rsidRPr="00B07671">
                  <w:rPr>
                    <w:rFonts w:ascii="Times New Roman" w:hAnsi="Times New Roman"/>
                    <w:noProof/>
                    <w:sz w:val="28"/>
                    <w:szCs w:val="28"/>
                    <w:lang w:val="zh-CN" w:eastAsia="zh-CN"/>
                  </w:rPr>
                  <w:t>4</w:t>
                </w:r>
                <w:r>
                  <w:rPr>
                    <w:rFonts w:ascii="Times New Roman" w:hAnsi="Times New Roman"/>
                    <w:sz w:val="28"/>
                    <w:szCs w:val="28"/>
                  </w:rPr>
                  <w:fldChar w:fldCharType="end"/>
                </w:r>
                <w:r>
                  <w:rPr>
                    <w:rFonts w:ascii="Times New Roman" w:hAnsi="Times New Roman"/>
                    <w:sz w:val="28"/>
                    <w:szCs w:val="28"/>
                    <w:lang w:eastAsia="zh-CN"/>
                  </w:rPr>
                  <w:t xml:space="preserve"> —</w:t>
                </w:r>
              </w:p>
              <w:p w:rsidR="00A77EB7" w:rsidRDefault="00A77EB7">
                <w:pPr>
                  <w:rPr>
                    <w:rFonts w:ascii="Times New Roman" w:hAnsi="Times New Roman"/>
                    <w:sz w:val="21"/>
                    <w:szCs w:val="21"/>
                  </w:rPr>
                </w:pPr>
              </w:p>
            </w:txbxContent>
          </v:textbox>
          <w10:wrap anchorx="margin"/>
        </v:shape>
      </w:pict>
    </w:r>
  </w:p>
  <w:p w:rsidR="00A77EB7" w:rsidRDefault="00A77EB7">
    <w:pPr>
      <w:spacing w:line="14" w:lineRule="auto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7EB7" w:rsidRDefault="00A77EB7" w:rsidP="00A73F64">
      <w:r>
        <w:separator/>
      </w:r>
    </w:p>
  </w:footnote>
  <w:footnote w:type="continuationSeparator" w:id="1">
    <w:p w:rsidR="00A77EB7" w:rsidRDefault="00A77EB7" w:rsidP="00A73F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7EB7" w:rsidRDefault="00A77EB7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bordersDoNotSurroundHeader/>
  <w:bordersDoNotSurroundFooter/>
  <w:defaultTabStop w:val="720"/>
  <w:drawingGridHorizontalSpacing w:val="102"/>
  <w:drawingGridVerticalSpacing w:val="300"/>
  <w:displayHorizontalDrawingGridEvery w:val="2"/>
  <w:displayVerticalDrawingGridEvery w:val="2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13EB3"/>
    <w:rsid w:val="00034CEC"/>
    <w:rsid w:val="0006550B"/>
    <w:rsid w:val="000B4775"/>
    <w:rsid w:val="000F39B6"/>
    <w:rsid w:val="0010220E"/>
    <w:rsid w:val="001026D8"/>
    <w:rsid w:val="00117BEA"/>
    <w:rsid w:val="00142032"/>
    <w:rsid w:val="0014688E"/>
    <w:rsid w:val="00164299"/>
    <w:rsid w:val="0018133A"/>
    <w:rsid w:val="001A0E4A"/>
    <w:rsid w:val="001C1DCA"/>
    <w:rsid w:val="001D2B61"/>
    <w:rsid w:val="001E46CA"/>
    <w:rsid w:val="001F0499"/>
    <w:rsid w:val="002008EA"/>
    <w:rsid w:val="00201061"/>
    <w:rsid w:val="00207D9B"/>
    <w:rsid w:val="00236A6D"/>
    <w:rsid w:val="00254AA8"/>
    <w:rsid w:val="00263EFB"/>
    <w:rsid w:val="00271A70"/>
    <w:rsid w:val="0028061C"/>
    <w:rsid w:val="0029045C"/>
    <w:rsid w:val="002941C4"/>
    <w:rsid w:val="00294277"/>
    <w:rsid w:val="00311D6C"/>
    <w:rsid w:val="00335B5A"/>
    <w:rsid w:val="0034081B"/>
    <w:rsid w:val="0038454A"/>
    <w:rsid w:val="00397579"/>
    <w:rsid w:val="003C41FE"/>
    <w:rsid w:val="003F4EB0"/>
    <w:rsid w:val="0043106F"/>
    <w:rsid w:val="00441C24"/>
    <w:rsid w:val="004B7194"/>
    <w:rsid w:val="0052791C"/>
    <w:rsid w:val="005402A0"/>
    <w:rsid w:val="00545C94"/>
    <w:rsid w:val="00582C2D"/>
    <w:rsid w:val="00586463"/>
    <w:rsid w:val="00590C52"/>
    <w:rsid w:val="005A1F6D"/>
    <w:rsid w:val="005C68FF"/>
    <w:rsid w:val="005C7745"/>
    <w:rsid w:val="005F61F7"/>
    <w:rsid w:val="00613FD7"/>
    <w:rsid w:val="00633D6E"/>
    <w:rsid w:val="006535D9"/>
    <w:rsid w:val="006B26F5"/>
    <w:rsid w:val="006C7EBB"/>
    <w:rsid w:val="00717E67"/>
    <w:rsid w:val="0073613E"/>
    <w:rsid w:val="0075684C"/>
    <w:rsid w:val="007754DC"/>
    <w:rsid w:val="00786590"/>
    <w:rsid w:val="007A5FD8"/>
    <w:rsid w:val="007B6C41"/>
    <w:rsid w:val="007D702C"/>
    <w:rsid w:val="007E3579"/>
    <w:rsid w:val="007F6E67"/>
    <w:rsid w:val="00803179"/>
    <w:rsid w:val="00870BD2"/>
    <w:rsid w:val="00875AF4"/>
    <w:rsid w:val="008F6BA2"/>
    <w:rsid w:val="00911CB8"/>
    <w:rsid w:val="00913EB3"/>
    <w:rsid w:val="00915A30"/>
    <w:rsid w:val="00922576"/>
    <w:rsid w:val="00950019"/>
    <w:rsid w:val="009575AF"/>
    <w:rsid w:val="00967DE1"/>
    <w:rsid w:val="00972A6B"/>
    <w:rsid w:val="009A0A59"/>
    <w:rsid w:val="00A10D27"/>
    <w:rsid w:val="00A4307B"/>
    <w:rsid w:val="00A63A0D"/>
    <w:rsid w:val="00A7059D"/>
    <w:rsid w:val="00A73F64"/>
    <w:rsid w:val="00A77EB7"/>
    <w:rsid w:val="00A83664"/>
    <w:rsid w:val="00A86D96"/>
    <w:rsid w:val="00AB0478"/>
    <w:rsid w:val="00B03CCD"/>
    <w:rsid w:val="00B06E86"/>
    <w:rsid w:val="00B07671"/>
    <w:rsid w:val="00B2777A"/>
    <w:rsid w:val="00B467B8"/>
    <w:rsid w:val="00B47CD6"/>
    <w:rsid w:val="00B50BCF"/>
    <w:rsid w:val="00B52C76"/>
    <w:rsid w:val="00B540B0"/>
    <w:rsid w:val="00B67DC9"/>
    <w:rsid w:val="00B71AF4"/>
    <w:rsid w:val="00B90D13"/>
    <w:rsid w:val="00BA3146"/>
    <w:rsid w:val="00BC141B"/>
    <w:rsid w:val="00BD363A"/>
    <w:rsid w:val="00BE3095"/>
    <w:rsid w:val="00BE5D93"/>
    <w:rsid w:val="00C04550"/>
    <w:rsid w:val="00C25DE7"/>
    <w:rsid w:val="00C25F39"/>
    <w:rsid w:val="00C27543"/>
    <w:rsid w:val="00C86E2C"/>
    <w:rsid w:val="00C96CA6"/>
    <w:rsid w:val="00CA6AC9"/>
    <w:rsid w:val="00CD5FCB"/>
    <w:rsid w:val="00CE508C"/>
    <w:rsid w:val="00D14F33"/>
    <w:rsid w:val="00D26DEF"/>
    <w:rsid w:val="00D30B04"/>
    <w:rsid w:val="00D30CC4"/>
    <w:rsid w:val="00D37E3C"/>
    <w:rsid w:val="00D437BC"/>
    <w:rsid w:val="00D52B5F"/>
    <w:rsid w:val="00D74E62"/>
    <w:rsid w:val="00D8709F"/>
    <w:rsid w:val="00D87C97"/>
    <w:rsid w:val="00DA4A95"/>
    <w:rsid w:val="00DB7B1A"/>
    <w:rsid w:val="00DF740F"/>
    <w:rsid w:val="00E15DB3"/>
    <w:rsid w:val="00E9027A"/>
    <w:rsid w:val="00E93C3E"/>
    <w:rsid w:val="00EB2A51"/>
    <w:rsid w:val="00EC3CBD"/>
    <w:rsid w:val="00ED20F9"/>
    <w:rsid w:val="00ED6343"/>
    <w:rsid w:val="00EE0E5C"/>
    <w:rsid w:val="00EF7B7B"/>
    <w:rsid w:val="00F36C79"/>
    <w:rsid w:val="00F778C5"/>
    <w:rsid w:val="00F80BB4"/>
    <w:rsid w:val="00F83AC5"/>
    <w:rsid w:val="00F9658D"/>
    <w:rsid w:val="00FD0EAB"/>
    <w:rsid w:val="00FE25DA"/>
    <w:rsid w:val="102D36B3"/>
    <w:rsid w:val="1F0648EE"/>
    <w:rsid w:val="2C13454D"/>
    <w:rsid w:val="488F5B77"/>
    <w:rsid w:val="51EC4F8F"/>
    <w:rsid w:val="619C126F"/>
    <w:rsid w:val="63782D85"/>
    <w:rsid w:val="652D66F8"/>
    <w:rsid w:val="7D561A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locked="1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73F64"/>
    <w:pPr>
      <w:widowControl w:val="0"/>
    </w:pPr>
    <w:rPr>
      <w:kern w:val="0"/>
      <w:sz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73F64"/>
    <w:pPr>
      <w:ind w:left="1143"/>
      <w:outlineLvl w:val="0"/>
    </w:pPr>
    <w:rPr>
      <w:rFonts w:ascii="华光小标宋_CNKI" w:eastAsia="华光小标宋_CNKI" w:hAnsi="华光小标宋_CNKI"/>
      <w:sz w:val="44"/>
      <w:szCs w:val="4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73F64"/>
    <w:pPr>
      <w:ind w:left="788"/>
      <w:outlineLvl w:val="1"/>
    </w:pPr>
    <w:rPr>
      <w:rFonts w:ascii="黑体" w:eastAsia="黑体" w:hAnsi="黑体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73F64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73F64"/>
    <w:rPr>
      <w:rFonts w:ascii="华光小标宋_CNKI" w:eastAsia="华光小标宋_CNKI" w:hAnsi="华光小标宋_CNKI" w:cs="Times New Roman"/>
      <w:sz w:val="44"/>
      <w:szCs w:val="44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A73F64"/>
    <w:rPr>
      <w:rFonts w:ascii="黑体" w:eastAsia="黑体" w:hAnsi="黑体" w:cs="Times New Roman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A73F64"/>
    <w:rPr>
      <w:rFonts w:cs="Times New Roman"/>
      <w:b/>
      <w:bCs/>
      <w:sz w:val="32"/>
      <w:szCs w:val="32"/>
    </w:rPr>
  </w:style>
  <w:style w:type="paragraph" w:styleId="CommentText">
    <w:name w:val="annotation text"/>
    <w:basedOn w:val="Normal"/>
    <w:link w:val="CommentTextChar"/>
    <w:uiPriority w:val="99"/>
    <w:semiHidden/>
    <w:rsid w:val="00A73F64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A73F64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A73F64"/>
    <w:pPr>
      <w:spacing w:before="26"/>
      <w:ind w:left="228"/>
    </w:pPr>
    <w:rPr>
      <w:rFonts w:ascii="宋体" w:hAnsi="宋体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52BE5"/>
    <w:rPr>
      <w:kern w:val="0"/>
      <w:sz w:val="22"/>
      <w:lang w:eastAsia="en-US"/>
    </w:rPr>
  </w:style>
  <w:style w:type="paragraph" w:styleId="Date">
    <w:name w:val="Date"/>
    <w:basedOn w:val="Normal"/>
    <w:next w:val="Normal"/>
    <w:link w:val="DateChar"/>
    <w:uiPriority w:val="99"/>
    <w:semiHidden/>
    <w:rsid w:val="00A73F64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A73F64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A73F6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73F64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A73F6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A73F64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A73F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A73F64"/>
    <w:rPr>
      <w:rFonts w:cs="Times New Roman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73F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A73F64"/>
    <w:rPr>
      <w:b/>
      <w:bCs/>
    </w:rPr>
  </w:style>
  <w:style w:type="table" w:styleId="TableGrid">
    <w:name w:val="Table Grid"/>
    <w:basedOn w:val="TableNormal"/>
    <w:uiPriority w:val="99"/>
    <w:rsid w:val="00A73F6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rsid w:val="00A73F64"/>
    <w:rPr>
      <w:rFonts w:cs="Times New Roman"/>
      <w:sz w:val="21"/>
      <w:szCs w:val="21"/>
    </w:rPr>
  </w:style>
  <w:style w:type="table" w:customStyle="1" w:styleId="TableNormal1">
    <w:name w:val="Table Normal1"/>
    <w:uiPriority w:val="99"/>
    <w:semiHidden/>
    <w:rsid w:val="00A73F64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99"/>
    <w:qFormat/>
    <w:rsid w:val="00A73F64"/>
  </w:style>
  <w:style w:type="paragraph" w:customStyle="1" w:styleId="TableParagraph">
    <w:name w:val="Table Paragraph"/>
    <w:basedOn w:val="Normal"/>
    <w:uiPriority w:val="99"/>
    <w:rsid w:val="00A73F64"/>
  </w:style>
  <w:style w:type="paragraph" w:customStyle="1" w:styleId="Revision1">
    <w:name w:val="Revision1"/>
    <w:hidden/>
    <w:uiPriority w:val="99"/>
    <w:semiHidden/>
    <w:rsid w:val="00A73F64"/>
    <w:rPr>
      <w:kern w:val="0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4</Pages>
  <Words>310</Words>
  <Characters>1773</Characters>
  <Application>Microsoft Office Outlook</Application>
  <DocSecurity>0</DocSecurity>
  <Lines>0</Lines>
  <Paragraphs>0</Paragraphs>
  <ScaleCrop>false</ScaleCrop>
  <Company>神州网信技术有限公司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</dc:title>
  <dc:subject/>
  <dc:creator>LC</dc:creator>
  <cp:keywords/>
  <dc:description/>
  <cp:lastModifiedBy>发文</cp:lastModifiedBy>
  <cp:revision>69</cp:revision>
  <cp:lastPrinted>2021-06-02T02:02:00Z</cp:lastPrinted>
  <dcterms:created xsi:type="dcterms:W3CDTF">2021-05-25T07:12:00Z</dcterms:created>
  <dcterms:modified xsi:type="dcterms:W3CDTF">2022-04-27T09:58:00Z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