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6AA" w:rsidRDefault="008616AA" w:rsidP="008616AA">
      <w:pPr>
        <w:widowControl/>
        <w:shd w:val="clear" w:color="auto" w:fill="FFFFFF"/>
        <w:spacing w:line="360" w:lineRule="auto"/>
        <w:jc w:val="center"/>
        <w:outlineLvl w:val="0"/>
        <w:rPr>
          <w:rFonts w:asciiTheme="minorEastAsia" w:hAnsiTheme="minorEastAsia" w:cs="宋体"/>
          <w:b/>
          <w:color w:val="0E59A4"/>
          <w:kern w:val="36"/>
          <w:sz w:val="36"/>
          <w:szCs w:val="36"/>
        </w:rPr>
      </w:pPr>
      <w:r w:rsidRPr="008616AA">
        <w:rPr>
          <w:rFonts w:asciiTheme="minorEastAsia" w:hAnsiTheme="minorEastAsia" w:cs="宋体" w:hint="eastAsia"/>
          <w:b/>
          <w:color w:val="0E59A4"/>
          <w:kern w:val="36"/>
          <w:sz w:val="36"/>
          <w:szCs w:val="36"/>
        </w:rPr>
        <w:t>佛山市南海区住房城乡建设和水利局关于督促企业落实查处“两违”企业责任的通知</w:t>
      </w:r>
    </w:p>
    <w:p w:rsidR="008616AA" w:rsidRPr="008616AA" w:rsidRDefault="008616AA" w:rsidP="008616AA">
      <w:pPr>
        <w:widowControl/>
        <w:shd w:val="clear" w:color="auto" w:fill="FFFFFF"/>
        <w:spacing w:line="360" w:lineRule="auto"/>
        <w:jc w:val="center"/>
        <w:outlineLvl w:val="0"/>
        <w:rPr>
          <w:rFonts w:asciiTheme="minorEastAsia" w:hAnsiTheme="minorEastAsia" w:cs="宋体"/>
          <w:b/>
          <w:color w:val="0E59A4"/>
          <w:kern w:val="36"/>
          <w:sz w:val="36"/>
          <w:szCs w:val="36"/>
        </w:rPr>
      </w:pPr>
    </w:p>
    <w:p w:rsidR="008616AA" w:rsidRPr="008616AA" w:rsidRDefault="008616AA" w:rsidP="008616AA">
      <w:pPr>
        <w:pStyle w:val="a5"/>
        <w:shd w:val="clear" w:color="auto" w:fill="FFFFFF"/>
        <w:spacing w:before="225" w:beforeAutospacing="0" w:after="225" w:afterAutospacing="0" w:line="480" w:lineRule="auto"/>
        <w:rPr>
          <w:color w:val="333333"/>
          <w:sz w:val="21"/>
          <w:szCs w:val="21"/>
        </w:rPr>
      </w:pPr>
      <w:r w:rsidRPr="008616AA">
        <w:rPr>
          <w:rFonts w:hint="eastAsia"/>
          <w:color w:val="333333"/>
          <w:sz w:val="21"/>
          <w:szCs w:val="21"/>
        </w:rPr>
        <w:t>各预拌混凝土生产企业，各设计、施工、监理、物业管理等企业：</w:t>
      </w:r>
    </w:p>
    <w:p w:rsidR="008616AA" w:rsidRPr="008616AA" w:rsidRDefault="008616AA" w:rsidP="008616AA">
      <w:pPr>
        <w:pStyle w:val="a5"/>
        <w:shd w:val="clear" w:color="auto" w:fill="FFFFFF"/>
        <w:spacing w:before="225" w:beforeAutospacing="0" w:after="225" w:afterAutospacing="0" w:line="480" w:lineRule="auto"/>
        <w:rPr>
          <w:rFonts w:hint="eastAsia"/>
          <w:color w:val="333333"/>
          <w:sz w:val="21"/>
          <w:szCs w:val="21"/>
        </w:rPr>
      </w:pPr>
      <w:r w:rsidRPr="008616AA">
        <w:rPr>
          <w:rFonts w:hint="eastAsia"/>
          <w:color w:val="333333"/>
          <w:sz w:val="21"/>
          <w:szCs w:val="21"/>
        </w:rPr>
        <w:t xml:space="preserve">　　根据《佛山市违法建设查处办法》、《南海区批发市场、专业市场消防安全专项整治工作方案》、《佛山市南海区人民政府关于印发佛山市南海区查处治理违法用地违法建设领域信用全链条评价机制实施办法（试行）的通知》（南府函〔2019〕46号）等相关文件要求，督促区预拌混凝土生产企业，各设计、施工、监理、物业管理等企业落实查处“两违”的企业责任，现将相关要求通知如下：</w:t>
      </w:r>
    </w:p>
    <w:p w:rsidR="008616AA" w:rsidRPr="008616AA" w:rsidRDefault="008616AA" w:rsidP="008616AA">
      <w:pPr>
        <w:pStyle w:val="a5"/>
        <w:shd w:val="clear" w:color="auto" w:fill="FFFFFF"/>
        <w:spacing w:before="225" w:beforeAutospacing="0" w:after="225" w:afterAutospacing="0" w:line="480" w:lineRule="auto"/>
        <w:rPr>
          <w:rFonts w:hint="eastAsia"/>
          <w:color w:val="333333"/>
          <w:sz w:val="21"/>
          <w:szCs w:val="21"/>
        </w:rPr>
      </w:pPr>
      <w:r w:rsidRPr="008616AA">
        <w:rPr>
          <w:rFonts w:hint="eastAsia"/>
          <w:color w:val="333333"/>
          <w:sz w:val="21"/>
          <w:szCs w:val="21"/>
        </w:rPr>
        <w:t xml:space="preserve">　　一、建设工程设计单位不得为没有建设工程规划许可证或者乡村建设规划许可证的建设项目出具正式的设计施工图纸;建筑施工单位、工程监理单位不得承建、监理没有建设工程规划许可证或者乡村建设规划许可证的建设项目;预拌混凝土生产企业不得向没有建设工程规划许可证或者乡村建设规划许可证的建设项目出售预拌混凝土；供水、供电、燃气等公共服务单位和生产经营企业可以在服务合同中约定其对于被依法认定为违法建设的建设项目有权单方面中止或者终止提供服务的内容。</w:t>
      </w:r>
    </w:p>
    <w:p w:rsidR="008616AA" w:rsidRPr="008616AA" w:rsidRDefault="008616AA" w:rsidP="008616AA">
      <w:pPr>
        <w:pStyle w:val="a5"/>
        <w:shd w:val="clear" w:color="auto" w:fill="FFFFFF"/>
        <w:spacing w:before="225" w:beforeAutospacing="0" w:after="225" w:afterAutospacing="0" w:line="480" w:lineRule="auto"/>
        <w:rPr>
          <w:rFonts w:hint="eastAsia"/>
          <w:color w:val="333333"/>
          <w:sz w:val="21"/>
          <w:szCs w:val="21"/>
        </w:rPr>
      </w:pPr>
      <w:r w:rsidRPr="008616AA">
        <w:rPr>
          <w:rFonts w:hint="eastAsia"/>
          <w:color w:val="333333"/>
          <w:sz w:val="21"/>
          <w:szCs w:val="21"/>
        </w:rPr>
        <w:t xml:space="preserve">　　二、区内从事建筑行业相关企业不得向新增“两违”建筑（“两违”是指违法用地违法建设）提供预拌混凝土，不得提供设计、施工、监理等服务。区预拌混凝土企业，设计、施工、监理等企业在提供签定材料供应、设计、施工、监理合同时应告知项目建设单位依法办理用地规划施工等建设手续。区预拌混凝土生产企业，设计、施工、监理等企业发现项目建设单位涉嫌“两违”行为时应及时向城管部门、属地镇街等部门反映。</w:t>
      </w:r>
    </w:p>
    <w:p w:rsidR="008616AA" w:rsidRDefault="008616AA" w:rsidP="008616AA">
      <w:pPr>
        <w:pStyle w:val="a5"/>
        <w:shd w:val="clear" w:color="auto" w:fill="FFFFFF"/>
        <w:spacing w:before="225" w:beforeAutospacing="0" w:after="225" w:afterAutospacing="0" w:line="480" w:lineRule="auto"/>
        <w:ind w:firstLine="420"/>
        <w:rPr>
          <w:color w:val="333333"/>
          <w:sz w:val="21"/>
          <w:szCs w:val="21"/>
        </w:rPr>
      </w:pPr>
      <w:r w:rsidRPr="008616AA">
        <w:rPr>
          <w:rFonts w:hint="eastAsia"/>
          <w:color w:val="333333"/>
          <w:sz w:val="21"/>
          <w:szCs w:val="21"/>
        </w:rPr>
        <w:lastRenderedPageBreak/>
        <w:t>三、为违法建（构）物及其他设施设备提供服务的设计、施工、监理企业、预拌混凝土生产企业、特种设备销售安装企业，项目开发企业，物业管理企业、业方、投资方、经营者等，纳入南海区查处治理违法用地违法建设领域信用全链条评价机制，并根据《佛山市违法建设查处办法》第三十四条相关单位和企业违反本办法第十七条规定的，由城市管理和综合执法部门按照规定予以处罚，并由作出处罚的城市管理和综合执法部门将相关处罚结果通报同级住房和城乡建设部门，由同级住房和城乡建设部门将其违法信息录入建筑业行业诚信管理平台，对其违法行为进行披露，并对其诚信记录进行扣分。</w:t>
      </w:r>
    </w:p>
    <w:p w:rsidR="008616AA" w:rsidRDefault="008616AA" w:rsidP="008616AA">
      <w:pPr>
        <w:pStyle w:val="a5"/>
        <w:shd w:val="clear" w:color="auto" w:fill="FFFFFF"/>
        <w:spacing w:before="225" w:beforeAutospacing="0" w:after="225" w:afterAutospacing="0" w:line="480" w:lineRule="auto"/>
        <w:ind w:firstLine="420"/>
        <w:rPr>
          <w:color w:val="333333"/>
          <w:sz w:val="21"/>
          <w:szCs w:val="21"/>
        </w:rPr>
      </w:pPr>
    </w:p>
    <w:p w:rsidR="008616AA" w:rsidRPr="008616AA" w:rsidRDefault="008616AA" w:rsidP="008616AA">
      <w:pPr>
        <w:pStyle w:val="a5"/>
        <w:shd w:val="clear" w:color="auto" w:fill="FFFFFF"/>
        <w:spacing w:before="225" w:beforeAutospacing="0" w:after="225" w:afterAutospacing="0" w:line="480" w:lineRule="auto"/>
        <w:ind w:firstLine="420"/>
        <w:rPr>
          <w:rFonts w:hint="eastAsia"/>
          <w:color w:val="333333"/>
          <w:sz w:val="21"/>
          <w:szCs w:val="21"/>
        </w:rPr>
      </w:pPr>
    </w:p>
    <w:p w:rsidR="008616AA" w:rsidRPr="008616AA" w:rsidRDefault="008616AA" w:rsidP="008616AA">
      <w:pPr>
        <w:pStyle w:val="a5"/>
        <w:shd w:val="clear" w:color="auto" w:fill="FFFFFF"/>
        <w:spacing w:before="225" w:beforeAutospacing="0" w:after="225" w:afterAutospacing="0" w:line="480" w:lineRule="auto"/>
        <w:jc w:val="right"/>
        <w:rPr>
          <w:rFonts w:hint="eastAsia"/>
          <w:color w:val="333333"/>
          <w:sz w:val="21"/>
          <w:szCs w:val="21"/>
        </w:rPr>
      </w:pPr>
      <w:r w:rsidRPr="008616AA">
        <w:rPr>
          <w:rFonts w:hint="eastAsia"/>
          <w:color w:val="333333"/>
          <w:sz w:val="21"/>
          <w:szCs w:val="21"/>
        </w:rPr>
        <w:t xml:space="preserve">　　佛山市南海区住房城乡建设和水利局</w:t>
      </w:r>
    </w:p>
    <w:p w:rsidR="008616AA" w:rsidRPr="008616AA" w:rsidRDefault="008616AA" w:rsidP="008616AA">
      <w:pPr>
        <w:pStyle w:val="a5"/>
        <w:shd w:val="clear" w:color="auto" w:fill="FFFFFF"/>
        <w:spacing w:before="225" w:beforeAutospacing="0" w:after="225" w:afterAutospacing="0" w:line="480" w:lineRule="auto"/>
        <w:jc w:val="right"/>
        <w:rPr>
          <w:rFonts w:hint="eastAsia"/>
          <w:color w:val="333333"/>
          <w:sz w:val="21"/>
          <w:szCs w:val="21"/>
        </w:rPr>
      </w:pPr>
      <w:r w:rsidRPr="008616AA">
        <w:rPr>
          <w:rFonts w:hint="eastAsia"/>
          <w:color w:val="333333"/>
          <w:sz w:val="21"/>
          <w:szCs w:val="21"/>
        </w:rPr>
        <w:t xml:space="preserve">　　2022年4月29日</w:t>
      </w:r>
    </w:p>
    <w:p w:rsidR="00000000" w:rsidRPr="008616AA" w:rsidRDefault="00844AC5" w:rsidP="008616AA">
      <w:pPr>
        <w:spacing w:line="360" w:lineRule="auto"/>
        <w:rPr>
          <w:rFonts w:asciiTheme="minorEastAsia" w:hAnsiTheme="minorEastAsia"/>
          <w:b/>
          <w:szCs w:val="21"/>
        </w:rPr>
      </w:pPr>
    </w:p>
    <w:p w:rsidR="008616AA" w:rsidRDefault="008616AA" w:rsidP="008616AA">
      <w:pPr>
        <w:spacing w:line="360" w:lineRule="auto"/>
        <w:rPr>
          <w:rFonts w:asciiTheme="minorEastAsia" w:hAnsiTheme="minorEastAsia"/>
          <w:b/>
          <w:sz w:val="30"/>
          <w:szCs w:val="30"/>
        </w:rPr>
      </w:pPr>
    </w:p>
    <w:p w:rsidR="008616AA" w:rsidRPr="008616AA" w:rsidRDefault="008616AA" w:rsidP="008616AA">
      <w:pPr>
        <w:spacing w:line="360" w:lineRule="auto"/>
        <w:rPr>
          <w:rFonts w:asciiTheme="minorEastAsia" w:hAnsiTheme="minorEastAsia" w:hint="eastAsia"/>
          <w:b/>
          <w:sz w:val="30"/>
          <w:szCs w:val="30"/>
        </w:rPr>
      </w:pPr>
    </w:p>
    <w:p w:rsidR="008616AA" w:rsidRPr="008616AA" w:rsidRDefault="008616AA" w:rsidP="008616AA">
      <w:pPr>
        <w:spacing w:line="360" w:lineRule="auto"/>
        <w:rPr>
          <w:rFonts w:asciiTheme="minorEastAsia" w:hAnsiTheme="minorEastAsia" w:hint="eastAsia"/>
          <w:b/>
          <w:sz w:val="30"/>
          <w:szCs w:val="30"/>
        </w:rPr>
      </w:pPr>
    </w:p>
    <w:p w:rsidR="008616AA" w:rsidRDefault="008616AA"/>
    <w:sectPr w:rsidR="008616A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4AC5" w:rsidRDefault="00844AC5" w:rsidP="008616AA">
      <w:r>
        <w:separator/>
      </w:r>
    </w:p>
  </w:endnote>
  <w:endnote w:type="continuationSeparator" w:id="1">
    <w:p w:rsidR="00844AC5" w:rsidRDefault="00844AC5" w:rsidP="008616A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4AC5" w:rsidRDefault="00844AC5" w:rsidP="008616AA">
      <w:r>
        <w:separator/>
      </w:r>
    </w:p>
  </w:footnote>
  <w:footnote w:type="continuationSeparator" w:id="1">
    <w:p w:rsidR="00844AC5" w:rsidRDefault="00844AC5" w:rsidP="008616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16AA"/>
    <w:rsid w:val="00844AC5"/>
    <w:rsid w:val="008616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616A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16A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16AA"/>
    <w:rPr>
      <w:sz w:val="18"/>
      <w:szCs w:val="18"/>
    </w:rPr>
  </w:style>
  <w:style w:type="paragraph" w:styleId="a4">
    <w:name w:val="footer"/>
    <w:basedOn w:val="a"/>
    <w:link w:val="Char0"/>
    <w:uiPriority w:val="99"/>
    <w:semiHidden/>
    <w:unhideWhenUsed/>
    <w:rsid w:val="008616A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16AA"/>
    <w:rPr>
      <w:sz w:val="18"/>
      <w:szCs w:val="18"/>
    </w:rPr>
  </w:style>
  <w:style w:type="character" w:customStyle="1" w:styleId="1Char">
    <w:name w:val="标题 1 Char"/>
    <w:basedOn w:val="a0"/>
    <w:link w:val="1"/>
    <w:uiPriority w:val="9"/>
    <w:rsid w:val="008616AA"/>
    <w:rPr>
      <w:rFonts w:ascii="宋体" w:eastAsia="宋体" w:hAnsi="宋体" w:cs="宋体"/>
      <w:b/>
      <w:bCs/>
      <w:kern w:val="36"/>
      <w:sz w:val="48"/>
      <w:szCs w:val="48"/>
    </w:rPr>
  </w:style>
  <w:style w:type="paragraph" w:styleId="a5">
    <w:name w:val="Normal (Web)"/>
    <w:basedOn w:val="a"/>
    <w:uiPriority w:val="99"/>
    <w:semiHidden/>
    <w:unhideWhenUsed/>
    <w:rsid w:val="008616A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905602592">
      <w:bodyDiv w:val="1"/>
      <w:marLeft w:val="0"/>
      <w:marRight w:val="0"/>
      <w:marTop w:val="0"/>
      <w:marBottom w:val="0"/>
      <w:divBdr>
        <w:top w:val="none" w:sz="0" w:space="0" w:color="auto"/>
        <w:left w:val="none" w:sz="0" w:space="0" w:color="auto"/>
        <w:bottom w:val="none" w:sz="0" w:space="0" w:color="auto"/>
        <w:right w:val="none" w:sz="0" w:space="0" w:color="auto"/>
      </w:divBdr>
    </w:div>
    <w:div w:id="1451514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143</Words>
  <Characters>821</Characters>
  <Application>Microsoft Office Word</Application>
  <DocSecurity>0</DocSecurity>
  <Lines>6</Lines>
  <Paragraphs>1</Paragraphs>
  <ScaleCrop>false</ScaleCrop>
  <Company>Regaltec</Company>
  <LinksUpToDate>false</LinksUpToDate>
  <CharactersWithSpaces>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2022-05-09T02:32:00Z</dcterms:created>
  <dcterms:modified xsi:type="dcterms:W3CDTF">2022-05-09T02:33:00Z</dcterms:modified>
</cp:coreProperties>
</file>