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59A1" w:rsidRPr="00D059A1" w:rsidRDefault="00D059A1" w:rsidP="00D059A1">
      <w:pPr>
        <w:widowControl/>
        <w:shd w:val="clear" w:color="auto" w:fill="FFFFFF"/>
        <w:spacing w:line="360" w:lineRule="auto"/>
        <w:jc w:val="center"/>
        <w:outlineLvl w:val="0"/>
        <w:rPr>
          <w:rFonts w:asciiTheme="minorEastAsia" w:hAnsiTheme="minorEastAsia" w:cs="宋体"/>
          <w:b/>
          <w:color w:val="0E59A4"/>
          <w:kern w:val="36"/>
          <w:sz w:val="32"/>
          <w:szCs w:val="32"/>
        </w:rPr>
      </w:pPr>
      <w:r w:rsidRPr="00D059A1">
        <w:rPr>
          <w:rFonts w:asciiTheme="minorEastAsia" w:hAnsiTheme="minorEastAsia" w:cs="宋体" w:hint="eastAsia"/>
          <w:b/>
          <w:color w:val="0E59A4"/>
          <w:kern w:val="36"/>
          <w:sz w:val="32"/>
          <w:szCs w:val="32"/>
        </w:rPr>
        <w:t>佛山市南海区住房城乡建设和水利局关于严格落实建筑用砂及混凝土拌合物氯离子检验工作的通知</w:t>
      </w:r>
    </w:p>
    <w:p w:rsidR="00D059A1" w:rsidRPr="00D059A1" w:rsidRDefault="00D059A1" w:rsidP="00D059A1">
      <w:pPr>
        <w:spacing w:line="360" w:lineRule="auto"/>
        <w:rPr>
          <w:rFonts w:hint="eastAsia"/>
          <w:szCs w:val="21"/>
        </w:rPr>
      </w:pPr>
    </w:p>
    <w:p w:rsidR="00D059A1" w:rsidRPr="00D059A1" w:rsidRDefault="00D059A1" w:rsidP="00D059A1">
      <w:pPr>
        <w:pStyle w:val="a5"/>
        <w:spacing w:before="225" w:beforeAutospacing="0" w:after="225" w:afterAutospacing="0" w:line="360" w:lineRule="auto"/>
        <w:rPr>
          <w:sz w:val="21"/>
          <w:szCs w:val="21"/>
        </w:rPr>
      </w:pPr>
      <w:r w:rsidRPr="00D059A1">
        <w:rPr>
          <w:rFonts w:hint="eastAsia"/>
          <w:sz w:val="21"/>
          <w:szCs w:val="21"/>
        </w:rPr>
        <w:t>各镇（街道）城建和水利办公室，区建筑工程质量监督站，各工程质量检测机构，各建设、施工、监理单位，各有关单位：</w:t>
      </w:r>
    </w:p>
    <w:p w:rsidR="00D059A1" w:rsidRPr="00D059A1" w:rsidRDefault="00D059A1" w:rsidP="00D059A1">
      <w:pPr>
        <w:pStyle w:val="a5"/>
        <w:spacing w:before="225" w:beforeAutospacing="0" w:after="225" w:afterAutospacing="0" w:line="360" w:lineRule="auto"/>
        <w:rPr>
          <w:rFonts w:hint="eastAsia"/>
          <w:sz w:val="21"/>
          <w:szCs w:val="21"/>
        </w:rPr>
      </w:pPr>
      <w:r w:rsidRPr="00D059A1">
        <w:rPr>
          <w:rFonts w:hint="eastAsia"/>
          <w:sz w:val="21"/>
          <w:szCs w:val="21"/>
        </w:rPr>
        <w:t xml:space="preserve">　　为持续强化全区房屋市政工程用砂和混凝土质量监管，根据《广东省住房和城乡建设厅关于开展强化房屋市政工程用砂和混凝土质量管理专项行动的通知》等文件和相关规范要求，现将有关事项通知如下：</w:t>
      </w:r>
    </w:p>
    <w:p w:rsidR="00D059A1" w:rsidRPr="00D059A1" w:rsidRDefault="00D059A1" w:rsidP="00D059A1">
      <w:pPr>
        <w:pStyle w:val="a5"/>
        <w:spacing w:before="225" w:beforeAutospacing="0" w:after="225" w:afterAutospacing="0" w:line="360" w:lineRule="auto"/>
        <w:rPr>
          <w:rFonts w:hint="eastAsia"/>
          <w:sz w:val="21"/>
          <w:szCs w:val="21"/>
        </w:rPr>
      </w:pPr>
      <w:r w:rsidRPr="00D059A1">
        <w:rPr>
          <w:rFonts w:hint="eastAsia"/>
          <w:sz w:val="21"/>
          <w:szCs w:val="21"/>
        </w:rPr>
        <w:t xml:space="preserve">　　一、自2022年7月1日起，未完成主体结构分部验收的房屋市政工程，均须严格落实《混凝土质量控制标准》（GB50164-2011）第7.2.1条、第7.2.2条第三款有关规定（见附件），在浇筑地点对混凝土拌合物进行氯离子含量见证取样检验；当某一设计标号混凝土已经完成浇筑且未对混凝土拌合物进行氯离子含量见证取样检验的，工程质量监督机构应责令相关责任单位限期改正，并对相关企业和人员进行动态记分、诚信扣分，责令相关责任单位根据《混凝土中氯离子含量检测技术规程》（JGJ/T 322-2013）第6款的规定，对既有结构或构件混凝土钻取混凝土芯样进行氯离子含量检测。未按要求落实上述工作的，建设单位不得组织竣工验收工作 。</w:t>
      </w:r>
    </w:p>
    <w:p w:rsidR="00D059A1" w:rsidRPr="00D059A1" w:rsidRDefault="00D059A1" w:rsidP="00D059A1">
      <w:pPr>
        <w:pStyle w:val="a5"/>
        <w:spacing w:before="225" w:beforeAutospacing="0" w:after="225" w:afterAutospacing="0" w:line="360" w:lineRule="auto"/>
        <w:rPr>
          <w:rFonts w:hint="eastAsia"/>
          <w:sz w:val="21"/>
          <w:szCs w:val="21"/>
        </w:rPr>
      </w:pPr>
      <w:r w:rsidRPr="00D059A1">
        <w:rPr>
          <w:rFonts w:hint="eastAsia"/>
          <w:sz w:val="21"/>
          <w:szCs w:val="21"/>
        </w:rPr>
        <w:t xml:space="preserve">　　二、各镇（街道）城建和水利办公室、区建筑工程质量监督站应加强对施工现场建筑用砂、预拌混凝土、预拌砂浆和预制混凝土构件进场验收、使用台账、见证取样送检和检测过程等情况的监督抽查，重点核查氯离子含量检测合格证明，以及施工现场是否按照《混凝土质量控制标准》（GB50164-2011）第7.2.1条、第7.2.2条规定对混凝土进行氯离子含量检验。</w:t>
      </w:r>
    </w:p>
    <w:p w:rsidR="00D059A1" w:rsidRPr="00D059A1" w:rsidRDefault="00D059A1" w:rsidP="00D059A1">
      <w:pPr>
        <w:pStyle w:val="a5"/>
        <w:spacing w:before="225" w:beforeAutospacing="0" w:after="225" w:afterAutospacing="0" w:line="360" w:lineRule="auto"/>
        <w:rPr>
          <w:rFonts w:hint="eastAsia"/>
          <w:sz w:val="21"/>
          <w:szCs w:val="21"/>
        </w:rPr>
      </w:pPr>
      <w:r w:rsidRPr="00D059A1">
        <w:rPr>
          <w:rFonts w:hint="eastAsia"/>
          <w:sz w:val="21"/>
          <w:szCs w:val="21"/>
        </w:rPr>
        <w:t xml:space="preserve">　　三、房屋市政工程主体结构分部验收及竣工验收前，建设单位应向相应的工程质量监督机构提供具有相应检测资质的第三方检测机构出具的建筑用砂氯离子检测报告、混凝土拌合物氯离子检测报告或既有结构、构件混凝土氯离子含量检测报告，未能按要求提供的，工程质量监督机构不得出具工程质量监督报告 。</w:t>
      </w:r>
    </w:p>
    <w:p w:rsidR="00D059A1" w:rsidRPr="00D059A1" w:rsidRDefault="00D059A1" w:rsidP="00D059A1">
      <w:pPr>
        <w:pStyle w:val="a5"/>
        <w:spacing w:before="225" w:beforeAutospacing="0" w:after="225" w:afterAutospacing="0" w:line="360" w:lineRule="auto"/>
        <w:rPr>
          <w:rFonts w:hint="eastAsia"/>
          <w:sz w:val="21"/>
          <w:szCs w:val="21"/>
        </w:rPr>
      </w:pPr>
      <w:r w:rsidRPr="00D059A1">
        <w:rPr>
          <w:rFonts w:hint="eastAsia"/>
          <w:sz w:val="21"/>
          <w:szCs w:val="21"/>
        </w:rPr>
        <w:lastRenderedPageBreak/>
        <w:t xml:space="preserve">　　附件：房屋市政工程建筑用砂、预拌混凝土拌合物、既有结构或构件混凝土氯离子检测工作要求和指引</w:t>
      </w:r>
    </w:p>
    <w:p w:rsidR="00D059A1" w:rsidRDefault="00D059A1" w:rsidP="00D059A1">
      <w:pPr>
        <w:pStyle w:val="a5"/>
        <w:spacing w:before="225" w:beforeAutospacing="0" w:after="225" w:afterAutospacing="0" w:line="360" w:lineRule="auto"/>
        <w:jc w:val="right"/>
        <w:rPr>
          <w:sz w:val="21"/>
          <w:szCs w:val="21"/>
        </w:rPr>
      </w:pPr>
    </w:p>
    <w:p w:rsidR="00D059A1" w:rsidRDefault="00D059A1" w:rsidP="00D059A1">
      <w:pPr>
        <w:pStyle w:val="a5"/>
        <w:spacing w:before="225" w:beforeAutospacing="0" w:after="225" w:afterAutospacing="0" w:line="360" w:lineRule="auto"/>
        <w:jc w:val="right"/>
        <w:rPr>
          <w:sz w:val="21"/>
          <w:szCs w:val="21"/>
        </w:rPr>
      </w:pPr>
    </w:p>
    <w:p w:rsidR="00D059A1" w:rsidRPr="00D059A1" w:rsidRDefault="00D059A1" w:rsidP="00D059A1">
      <w:pPr>
        <w:pStyle w:val="a5"/>
        <w:spacing w:before="225" w:beforeAutospacing="0" w:after="225" w:afterAutospacing="0" w:line="360" w:lineRule="auto"/>
        <w:jc w:val="right"/>
        <w:rPr>
          <w:rFonts w:hint="eastAsia"/>
          <w:sz w:val="21"/>
          <w:szCs w:val="21"/>
        </w:rPr>
      </w:pPr>
      <w:r w:rsidRPr="00D059A1">
        <w:rPr>
          <w:rFonts w:hint="eastAsia"/>
          <w:sz w:val="21"/>
          <w:szCs w:val="21"/>
        </w:rPr>
        <w:t xml:space="preserve">　　佛山市南海区住房城乡建设和水利局</w:t>
      </w:r>
    </w:p>
    <w:p w:rsidR="00D059A1" w:rsidRDefault="00D059A1" w:rsidP="00D059A1">
      <w:pPr>
        <w:pStyle w:val="a5"/>
        <w:spacing w:before="225" w:beforeAutospacing="0" w:after="225" w:afterAutospacing="0" w:line="360" w:lineRule="auto"/>
        <w:jc w:val="right"/>
        <w:rPr>
          <w:sz w:val="21"/>
          <w:szCs w:val="21"/>
        </w:rPr>
      </w:pPr>
      <w:r w:rsidRPr="00D059A1">
        <w:rPr>
          <w:rFonts w:hint="eastAsia"/>
          <w:sz w:val="21"/>
          <w:szCs w:val="21"/>
        </w:rPr>
        <w:t xml:space="preserve">　　2022年5月10日</w:t>
      </w:r>
    </w:p>
    <w:p w:rsidR="00D059A1" w:rsidRDefault="00D059A1" w:rsidP="00D059A1">
      <w:pPr>
        <w:pStyle w:val="a5"/>
        <w:spacing w:before="225" w:beforeAutospacing="0" w:after="225" w:afterAutospacing="0" w:line="360" w:lineRule="auto"/>
        <w:jc w:val="right"/>
        <w:rPr>
          <w:sz w:val="21"/>
          <w:szCs w:val="21"/>
        </w:rPr>
      </w:pPr>
    </w:p>
    <w:p w:rsidR="00D059A1" w:rsidRDefault="00D059A1" w:rsidP="00D059A1">
      <w:pPr>
        <w:pStyle w:val="a5"/>
        <w:spacing w:before="225" w:beforeAutospacing="0" w:after="225" w:afterAutospacing="0" w:line="360" w:lineRule="auto"/>
        <w:jc w:val="right"/>
        <w:rPr>
          <w:sz w:val="21"/>
          <w:szCs w:val="21"/>
        </w:rPr>
      </w:pPr>
    </w:p>
    <w:p w:rsidR="00D059A1" w:rsidRDefault="00D059A1" w:rsidP="00D059A1">
      <w:pPr>
        <w:pStyle w:val="a5"/>
        <w:spacing w:before="225" w:beforeAutospacing="0" w:after="225" w:afterAutospacing="0" w:line="360" w:lineRule="auto"/>
        <w:jc w:val="right"/>
        <w:rPr>
          <w:sz w:val="21"/>
          <w:szCs w:val="21"/>
        </w:rPr>
      </w:pPr>
    </w:p>
    <w:p w:rsidR="00D059A1" w:rsidRDefault="00D059A1" w:rsidP="00D059A1">
      <w:pPr>
        <w:pStyle w:val="a5"/>
        <w:spacing w:before="225" w:beforeAutospacing="0" w:after="225" w:afterAutospacing="0" w:line="360" w:lineRule="auto"/>
        <w:jc w:val="right"/>
        <w:rPr>
          <w:sz w:val="21"/>
          <w:szCs w:val="21"/>
        </w:rPr>
      </w:pPr>
    </w:p>
    <w:p w:rsidR="00D059A1" w:rsidRDefault="00D059A1" w:rsidP="00D059A1">
      <w:pPr>
        <w:pStyle w:val="a5"/>
        <w:spacing w:before="225" w:beforeAutospacing="0" w:after="225" w:afterAutospacing="0" w:line="360" w:lineRule="auto"/>
        <w:jc w:val="right"/>
        <w:rPr>
          <w:sz w:val="21"/>
          <w:szCs w:val="21"/>
        </w:rPr>
      </w:pPr>
    </w:p>
    <w:p w:rsidR="00D059A1" w:rsidRDefault="00D059A1" w:rsidP="00D059A1">
      <w:pPr>
        <w:pStyle w:val="a5"/>
        <w:spacing w:before="225" w:beforeAutospacing="0" w:after="225" w:afterAutospacing="0" w:line="360" w:lineRule="auto"/>
        <w:jc w:val="right"/>
        <w:rPr>
          <w:sz w:val="21"/>
          <w:szCs w:val="21"/>
        </w:rPr>
      </w:pPr>
    </w:p>
    <w:p w:rsidR="00D059A1" w:rsidRDefault="00D059A1" w:rsidP="00D059A1">
      <w:pPr>
        <w:pStyle w:val="a5"/>
        <w:spacing w:before="225" w:beforeAutospacing="0" w:after="225" w:afterAutospacing="0" w:line="360" w:lineRule="auto"/>
        <w:jc w:val="right"/>
        <w:rPr>
          <w:sz w:val="21"/>
          <w:szCs w:val="21"/>
        </w:rPr>
      </w:pPr>
    </w:p>
    <w:p w:rsidR="00D059A1" w:rsidRDefault="00D059A1" w:rsidP="00D059A1">
      <w:pPr>
        <w:pStyle w:val="a5"/>
        <w:spacing w:before="225" w:beforeAutospacing="0" w:after="225" w:afterAutospacing="0" w:line="360" w:lineRule="auto"/>
        <w:jc w:val="right"/>
        <w:rPr>
          <w:sz w:val="21"/>
          <w:szCs w:val="21"/>
        </w:rPr>
      </w:pPr>
    </w:p>
    <w:p w:rsidR="00D059A1" w:rsidRDefault="00D059A1" w:rsidP="00D059A1">
      <w:pPr>
        <w:pStyle w:val="a5"/>
        <w:spacing w:before="225" w:beforeAutospacing="0" w:after="225" w:afterAutospacing="0" w:line="360" w:lineRule="auto"/>
        <w:jc w:val="right"/>
        <w:rPr>
          <w:sz w:val="21"/>
          <w:szCs w:val="21"/>
        </w:rPr>
      </w:pPr>
    </w:p>
    <w:p w:rsidR="00D059A1" w:rsidRDefault="00D059A1" w:rsidP="00D059A1">
      <w:pPr>
        <w:pStyle w:val="a5"/>
        <w:spacing w:before="225" w:beforeAutospacing="0" w:after="225" w:afterAutospacing="0" w:line="360" w:lineRule="auto"/>
        <w:jc w:val="right"/>
        <w:rPr>
          <w:sz w:val="21"/>
          <w:szCs w:val="21"/>
        </w:rPr>
      </w:pPr>
    </w:p>
    <w:p w:rsidR="00D059A1" w:rsidRDefault="00D059A1" w:rsidP="00D059A1">
      <w:pPr>
        <w:pStyle w:val="a5"/>
        <w:spacing w:before="225" w:beforeAutospacing="0" w:after="225" w:afterAutospacing="0" w:line="360" w:lineRule="auto"/>
        <w:jc w:val="right"/>
        <w:rPr>
          <w:sz w:val="21"/>
          <w:szCs w:val="21"/>
        </w:rPr>
      </w:pPr>
    </w:p>
    <w:p w:rsidR="00D059A1" w:rsidRDefault="00D059A1" w:rsidP="00D059A1">
      <w:pPr>
        <w:pStyle w:val="a5"/>
        <w:spacing w:before="225" w:beforeAutospacing="0" w:after="225" w:afterAutospacing="0" w:line="360" w:lineRule="auto"/>
        <w:jc w:val="right"/>
        <w:rPr>
          <w:sz w:val="21"/>
          <w:szCs w:val="21"/>
        </w:rPr>
      </w:pPr>
    </w:p>
    <w:p w:rsidR="00D059A1" w:rsidRDefault="00D059A1" w:rsidP="00D059A1">
      <w:pPr>
        <w:pStyle w:val="a5"/>
        <w:spacing w:before="225" w:beforeAutospacing="0" w:after="225" w:afterAutospacing="0" w:line="360" w:lineRule="auto"/>
        <w:jc w:val="right"/>
        <w:rPr>
          <w:sz w:val="21"/>
          <w:szCs w:val="21"/>
        </w:rPr>
      </w:pPr>
    </w:p>
    <w:p w:rsidR="00D059A1" w:rsidRPr="00D059A1" w:rsidRDefault="00D059A1" w:rsidP="00D059A1">
      <w:pPr>
        <w:pStyle w:val="a5"/>
        <w:spacing w:before="225" w:beforeAutospacing="0" w:after="225" w:afterAutospacing="0" w:line="360" w:lineRule="auto"/>
        <w:jc w:val="right"/>
        <w:rPr>
          <w:rFonts w:hint="eastAsia"/>
          <w:sz w:val="21"/>
          <w:szCs w:val="21"/>
        </w:rPr>
      </w:pPr>
    </w:p>
    <w:p w:rsidR="00D059A1" w:rsidRPr="00D059A1" w:rsidRDefault="00D059A1" w:rsidP="00D059A1">
      <w:pPr>
        <w:pStyle w:val="a5"/>
        <w:spacing w:before="225" w:beforeAutospacing="0" w:after="225" w:afterAutospacing="0" w:line="360" w:lineRule="auto"/>
        <w:rPr>
          <w:rFonts w:hint="eastAsia"/>
          <w:sz w:val="21"/>
          <w:szCs w:val="21"/>
        </w:rPr>
      </w:pPr>
      <w:r w:rsidRPr="00D059A1">
        <w:rPr>
          <w:rFonts w:hint="eastAsia"/>
          <w:sz w:val="21"/>
          <w:szCs w:val="21"/>
        </w:rPr>
        <w:t xml:space="preserve">　　附件</w:t>
      </w:r>
    </w:p>
    <w:p w:rsidR="00D059A1" w:rsidRDefault="00D059A1" w:rsidP="00D059A1">
      <w:pPr>
        <w:pStyle w:val="a5"/>
        <w:spacing w:before="225" w:beforeAutospacing="0" w:after="225" w:afterAutospacing="0" w:line="360" w:lineRule="auto"/>
        <w:jc w:val="center"/>
        <w:rPr>
          <w:rStyle w:val="a6"/>
          <w:sz w:val="28"/>
          <w:szCs w:val="28"/>
        </w:rPr>
      </w:pPr>
      <w:r w:rsidRPr="00D059A1">
        <w:rPr>
          <w:rStyle w:val="a6"/>
          <w:rFonts w:hint="eastAsia"/>
          <w:sz w:val="21"/>
          <w:szCs w:val="21"/>
        </w:rPr>
        <w:t xml:space="preserve">　　</w:t>
      </w:r>
      <w:r w:rsidRPr="00D059A1">
        <w:rPr>
          <w:rStyle w:val="a6"/>
          <w:rFonts w:hint="eastAsia"/>
          <w:sz w:val="28"/>
          <w:szCs w:val="28"/>
        </w:rPr>
        <w:t>房屋市政工程建筑用砂、预拌混凝土拌合物、既有结构或构件混凝土氯离子检测工作要求和指引</w:t>
      </w:r>
    </w:p>
    <w:p w:rsidR="00D059A1" w:rsidRPr="00D059A1" w:rsidRDefault="00D059A1" w:rsidP="00D059A1">
      <w:pPr>
        <w:pStyle w:val="a5"/>
        <w:spacing w:before="225" w:beforeAutospacing="0" w:after="225" w:afterAutospacing="0" w:line="360" w:lineRule="auto"/>
        <w:rPr>
          <w:rFonts w:hint="eastAsia"/>
          <w:sz w:val="21"/>
          <w:szCs w:val="21"/>
        </w:rPr>
      </w:pPr>
      <w:r w:rsidRPr="00D059A1">
        <w:rPr>
          <w:rFonts w:hint="eastAsia"/>
          <w:sz w:val="21"/>
          <w:szCs w:val="21"/>
        </w:rPr>
        <w:t xml:space="preserve">　　一、取样地点和检测频率要求：混凝土拌合物性能检验，《混凝土质量控制标准》（GB50164-2011）第7.2.1条规定：“在生产施工过程中应在搅拌地点和浇筑地点分别对混凝土拌合物进行抽样检验”；第7.2.2条第三款规定：“同一工程、同一配合比的混凝土的氯离子含量应至少检验一次；同一工程、同一配合比和采用同一批次海砂的混凝土的氯离子含量应至少检验一次”。</w:t>
      </w:r>
    </w:p>
    <w:p w:rsidR="00D059A1" w:rsidRPr="00D059A1" w:rsidRDefault="00D059A1" w:rsidP="00D059A1">
      <w:pPr>
        <w:pStyle w:val="a5"/>
        <w:spacing w:before="225" w:beforeAutospacing="0" w:after="225" w:afterAutospacing="0" w:line="360" w:lineRule="auto"/>
        <w:rPr>
          <w:rFonts w:hint="eastAsia"/>
          <w:sz w:val="21"/>
          <w:szCs w:val="21"/>
        </w:rPr>
      </w:pPr>
      <w:r w:rsidRPr="00D059A1">
        <w:rPr>
          <w:rFonts w:hint="eastAsia"/>
          <w:sz w:val="21"/>
          <w:szCs w:val="21"/>
        </w:rPr>
        <w:t xml:space="preserve">　　二、取样和检测方法建议：</w:t>
      </w:r>
    </w:p>
    <w:p w:rsidR="00D059A1" w:rsidRPr="00D059A1" w:rsidRDefault="00D059A1" w:rsidP="00D059A1">
      <w:pPr>
        <w:pStyle w:val="a5"/>
        <w:spacing w:before="225" w:beforeAutospacing="0" w:after="225" w:afterAutospacing="0" w:line="360" w:lineRule="auto"/>
        <w:rPr>
          <w:rFonts w:hint="eastAsia"/>
          <w:sz w:val="21"/>
          <w:szCs w:val="21"/>
        </w:rPr>
      </w:pPr>
      <w:r w:rsidRPr="00D059A1">
        <w:rPr>
          <w:rFonts w:hint="eastAsia"/>
          <w:sz w:val="21"/>
          <w:szCs w:val="21"/>
        </w:rPr>
        <w:t xml:space="preserve">　　（一）根据《混凝土中氯离子含量检测技术规程》（JGJ/T 322-2013）第4.3.1条规定，作为验收依据的氯离子检测应采用该规程附录B的混凝土拌合物中水溶性氯离子含量测试方法（必要时也可采用精度更高的测试方法）；该规程第4.2.7条的规定：“滤液的获取应自混凝土加水搅拌3h内完成”。考虑到混凝土的凝结时间问题，建议委托有资质的第三方检测机构对混凝土拌合物进行现场取样并获取悬浊液或滤液，带回实验室检测。取样过程应拍照留底备查。</w:t>
      </w:r>
    </w:p>
    <w:p w:rsidR="00D059A1" w:rsidRPr="00D059A1" w:rsidRDefault="00D059A1" w:rsidP="00D059A1">
      <w:pPr>
        <w:pStyle w:val="a5"/>
        <w:spacing w:before="225" w:beforeAutospacing="0" w:after="225" w:afterAutospacing="0" w:line="360" w:lineRule="auto"/>
        <w:rPr>
          <w:rFonts w:hint="eastAsia"/>
          <w:sz w:val="21"/>
          <w:szCs w:val="21"/>
        </w:rPr>
      </w:pPr>
      <w:r w:rsidRPr="00D059A1">
        <w:rPr>
          <w:rFonts w:hint="eastAsia"/>
          <w:sz w:val="21"/>
          <w:szCs w:val="21"/>
        </w:rPr>
        <w:t xml:space="preserve">　　（二）未对混凝土拌合物进行氯离子含量见证取样检验的既有结构或构件混凝土，应根据《混凝土中氯离子含量检测技术规程》（JGJ/T 322-2013）第6款规定，钻取混凝土芯样进行氯离子含量检测。</w:t>
      </w:r>
    </w:p>
    <w:p w:rsidR="00D059A1" w:rsidRPr="00D059A1" w:rsidRDefault="00D059A1" w:rsidP="00D059A1">
      <w:pPr>
        <w:pStyle w:val="a5"/>
        <w:spacing w:before="225" w:beforeAutospacing="0" w:after="225" w:afterAutospacing="0" w:line="360" w:lineRule="auto"/>
        <w:rPr>
          <w:rFonts w:hint="eastAsia"/>
          <w:sz w:val="21"/>
          <w:szCs w:val="21"/>
        </w:rPr>
      </w:pPr>
      <w:r w:rsidRPr="00D059A1">
        <w:rPr>
          <w:rFonts w:hint="eastAsia"/>
          <w:sz w:val="21"/>
          <w:szCs w:val="21"/>
        </w:rPr>
        <w:t xml:space="preserve">　　三、建筑用砂、预拌混凝土及既有结构、构件混凝土氯离子评定依据参照：《混凝土结构通用规范》（GB 55008-2021）。</w:t>
      </w:r>
    </w:p>
    <w:p w:rsidR="00D059A1" w:rsidRPr="00D059A1" w:rsidRDefault="00D059A1" w:rsidP="00D059A1">
      <w:pPr>
        <w:pStyle w:val="a5"/>
        <w:spacing w:before="225" w:beforeAutospacing="0" w:after="225" w:afterAutospacing="0" w:line="360" w:lineRule="auto"/>
        <w:rPr>
          <w:rFonts w:hint="eastAsia"/>
          <w:sz w:val="21"/>
          <w:szCs w:val="21"/>
        </w:rPr>
      </w:pPr>
      <w:r w:rsidRPr="00D059A1">
        <w:rPr>
          <w:rFonts w:hint="eastAsia"/>
          <w:sz w:val="21"/>
          <w:szCs w:val="21"/>
        </w:rPr>
        <w:t xml:space="preserve">　　四、检验报告式样参考广东省房屋建筑工程竣工验收技术资料统一用表：《普通混凝土用砂检验报告》以及《混凝土中氯离子含量检验报告》。</w:t>
      </w:r>
    </w:p>
    <w:p w:rsidR="00D059A1" w:rsidRPr="00D059A1" w:rsidRDefault="00D059A1"/>
    <w:sectPr w:rsidR="00D059A1" w:rsidRPr="00D059A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5759" w:rsidRDefault="008D5759" w:rsidP="00D059A1">
      <w:r>
        <w:separator/>
      </w:r>
    </w:p>
  </w:endnote>
  <w:endnote w:type="continuationSeparator" w:id="1">
    <w:p w:rsidR="008D5759" w:rsidRDefault="008D5759" w:rsidP="00D059A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5759" w:rsidRDefault="008D5759" w:rsidP="00D059A1">
      <w:r>
        <w:separator/>
      </w:r>
    </w:p>
  </w:footnote>
  <w:footnote w:type="continuationSeparator" w:id="1">
    <w:p w:rsidR="008D5759" w:rsidRDefault="008D5759" w:rsidP="00D059A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059A1"/>
    <w:rsid w:val="008D5759"/>
    <w:rsid w:val="00D059A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D059A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059A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059A1"/>
    <w:rPr>
      <w:sz w:val="18"/>
      <w:szCs w:val="18"/>
    </w:rPr>
  </w:style>
  <w:style w:type="paragraph" w:styleId="a4">
    <w:name w:val="footer"/>
    <w:basedOn w:val="a"/>
    <w:link w:val="Char0"/>
    <w:uiPriority w:val="99"/>
    <w:semiHidden/>
    <w:unhideWhenUsed/>
    <w:rsid w:val="00D059A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059A1"/>
    <w:rPr>
      <w:sz w:val="18"/>
      <w:szCs w:val="18"/>
    </w:rPr>
  </w:style>
  <w:style w:type="character" w:customStyle="1" w:styleId="1Char">
    <w:name w:val="标题 1 Char"/>
    <w:basedOn w:val="a0"/>
    <w:link w:val="1"/>
    <w:uiPriority w:val="9"/>
    <w:rsid w:val="00D059A1"/>
    <w:rPr>
      <w:rFonts w:ascii="宋体" w:eastAsia="宋体" w:hAnsi="宋体" w:cs="宋体"/>
      <w:b/>
      <w:bCs/>
      <w:kern w:val="36"/>
      <w:sz w:val="48"/>
      <w:szCs w:val="48"/>
    </w:rPr>
  </w:style>
  <w:style w:type="paragraph" w:styleId="a5">
    <w:name w:val="Normal (Web)"/>
    <w:basedOn w:val="a"/>
    <w:uiPriority w:val="99"/>
    <w:semiHidden/>
    <w:unhideWhenUsed/>
    <w:rsid w:val="00D059A1"/>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D059A1"/>
    <w:rPr>
      <w:b/>
      <w:bCs/>
    </w:rPr>
  </w:style>
  <w:style w:type="paragraph" w:styleId="a7">
    <w:name w:val="Date"/>
    <w:basedOn w:val="a"/>
    <w:next w:val="a"/>
    <w:link w:val="Char1"/>
    <w:uiPriority w:val="99"/>
    <w:semiHidden/>
    <w:unhideWhenUsed/>
    <w:rsid w:val="00D059A1"/>
    <w:pPr>
      <w:ind w:leftChars="2500" w:left="100"/>
    </w:pPr>
  </w:style>
  <w:style w:type="character" w:customStyle="1" w:styleId="Char1">
    <w:name w:val="日期 Char"/>
    <w:basedOn w:val="a0"/>
    <w:link w:val="a7"/>
    <w:uiPriority w:val="99"/>
    <w:semiHidden/>
    <w:rsid w:val="00D059A1"/>
  </w:style>
</w:styles>
</file>

<file path=word/webSettings.xml><?xml version="1.0" encoding="utf-8"?>
<w:webSettings xmlns:r="http://schemas.openxmlformats.org/officeDocument/2006/relationships" xmlns:w="http://schemas.openxmlformats.org/wordprocessingml/2006/main">
  <w:divs>
    <w:div w:id="1698001819">
      <w:bodyDiv w:val="1"/>
      <w:marLeft w:val="0"/>
      <w:marRight w:val="0"/>
      <w:marTop w:val="0"/>
      <w:marBottom w:val="0"/>
      <w:divBdr>
        <w:top w:val="none" w:sz="0" w:space="0" w:color="auto"/>
        <w:left w:val="none" w:sz="0" w:space="0" w:color="auto"/>
        <w:bottom w:val="none" w:sz="0" w:space="0" w:color="auto"/>
        <w:right w:val="none" w:sz="0" w:space="0" w:color="auto"/>
      </w:divBdr>
    </w:div>
    <w:div w:id="1940139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239</Words>
  <Characters>1366</Characters>
  <Application>Microsoft Office Word</Application>
  <DocSecurity>0</DocSecurity>
  <Lines>11</Lines>
  <Paragraphs>3</Paragraphs>
  <ScaleCrop>false</ScaleCrop>
  <Company>Regaltec</Company>
  <LinksUpToDate>false</LinksUpToDate>
  <CharactersWithSpaces>1602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2022-05-13T02:23:00Z</dcterms:created>
  <dcterms:modified xsi:type="dcterms:W3CDTF">2022-05-13T02:24:00Z</dcterms:modified>
</cp:coreProperties>
</file>