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pPr>
      <w:r>
        <w:t>电子缴费操作说明（开发商）</w:t>
      </w:r>
    </w:p>
    <w:p>
      <w:pPr>
        <w:pStyle w:val="3"/>
        <w:numPr>
          <w:ilvl w:val="0"/>
          <w:numId w:val="1"/>
        </w:numPr>
      </w:pPr>
      <w:r>
        <w:rPr>
          <w:rFonts w:hint="eastAsia"/>
        </w:rPr>
        <w:t>打印缴款书</w:t>
      </w:r>
    </w:p>
    <w:p>
      <w:pPr>
        <w:ind w:firstLine="420"/>
      </w:pPr>
      <w:r>
        <w:rPr>
          <w:rFonts w:hint="eastAsia"/>
        </w:rPr>
        <w:t>与银行柜台缴款是同一缴款书，打印操作不变。</w:t>
      </w:r>
    </w:p>
    <w:p>
      <w:pPr>
        <w:ind w:firstLine="420"/>
      </w:pPr>
      <w:r>
        <w:rPr>
          <w:rFonts w:hint="eastAsia"/>
        </w:rPr>
        <w:t>新的缴款书增加了缴款二维码，更新了说明。</w:t>
      </w:r>
    </w:p>
    <w:p>
      <w:pPr>
        <w:ind w:firstLine="420"/>
      </w:pPr>
      <w:r>
        <w:rPr>
          <w:rFonts w:hint="eastAsia"/>
        </w:rPr>
        <w:t>凭此缴款书，可到银行柜台按原有流程缴款，也可使用微信扫描左上角二维码，进行</w:t>
      </w:r>
      <w:r>
        <w:t>电子缴费</w:t>
      </w:r>
    </w:p>
    <w:p>
      <w:pPr>
        <w:ind w:firstLine="420"/>
      </w:pPr>
      <w:r>
        <w:drawing>
          <wp:inline distT="0" distB="0" distL="0" distR="0">
            <wp:extent cx="5274310" cy="381635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274310" cy="3816549"/>
                    </a:xfrm>
                    <a:prstGeom prst="rect">
                      <a:avLst/>
                    </a:prstGeom>
                  </pic:spPr>
                </pic:pic>
              </a:graphicData>
            </a:graphic>
          </wp:inline>
        </w:drawing>
      </w:r>
    </w:p>
    <w:p>
      <w:pPr>
        <w:pStyle w:val="3"/>
        <w:numPr>
          <w:ilvl w:val="0"/>
          <w:numId w:val="1"/>
        </w:numPr>
      </w:pPr>
      <w:r>
        <w:rPr>
          <w:rFonts w:hint="eastAsia"/>
        </w:rPr>
        <w:t>注意事项</w:t>
      </w:r>
    </w:p>
    <w:p>
      <w:pPr>
        <w:pStyle w:val="14"/>
        <w:numPr>
          <w:ilvl w:val="0"/>
          <w:numId w:val="2"/>
        </w:numPr>
        <w:ind w:firstLineChars="0"/>
      </w:pPr>
      <w:r>
        <w:rPr>
          <w:rFonts w:hint="eastAsia"/>
        </w:rPr>
        <w:t>通知书</w:t>
      </w:r>
      <w:r>
        <w:rPr>
          <w:rFonts w:hint="eastAsia"/>
          <w:b/>
          <w:sz w:val="28"/>
          <w:szCs w:val="28"/>
        </w:rPr>
        <w:t>“原件”</w:t>
      </w:r>
      <w:r>
        <w:rPr>
          <w:rFonts w:hint="eastAsia"/>
        </w:rPr>
        <w:t>二维码是唯一电子缴费入口，请勿通过任何途径发送缴款书图片给业主。</w:t>
      </w:r>
      <w:r>
        <w:t>并应提醒业主，不要信任原件二维码外的电子缴费方式。</w:t>
      </w:r>
    </w:p>
    <w:p>
      <w:pPr>
        <w:pStyle w:val="14"/>
        <w:numPr>
          <w:ilvl w:val="0"/>
          <w:numId w:val="2"/>
        </w:numPr>
        <w:ind w:firstLineChars="0"/>
      </w:pPr>
      <w:r>
        <w:rPr>
          <w:rFonts w:hint="eastAsia"/>
        </w:rPr>
        <w:t>电子缴费</w:t>
      </w:r>
      <w:r>
        <w:t>失败，不影响改为到银行柜台线下缴款。</w:t>
      </w:r>
    </w:p>
    <w:p>
      <w:pPr>
        <w:pStyle w:val="14"/>
        <w:numPr>
          <w:ilvl w:val="0"/>
          <w:numId w:val="2"/>
        </w:numPr>
        <w:ind w:firstLineChars="0"/>
      </w:pPr>
      <w:r>
        <w:rPr>
          <w:rFonts w:hint="eastAsia"/>
        </w:rPr>
        <w:t>电子缴费支付时，可使用非业主本人的银行卡</w:t>
      </w:r>
    </w:p>
    <w:p/>
    <w:p>
      <w:pPr>
        <w:pStyle w:val="3"/>
        <w:numPr>
          <w:ilvl w:val="0"/>
          <w:numId w:val="1"/>
        </w:numPr>
      </w:pPr>
      <w:r>
        <w:rPr>
          <w:rFonts w:hint="eastAsia"/>
        </w:rPr>
        <w:t>交存须知</w:t>
      </w:r>
    </w:p>
    <w:p>
      <w:r>
        <w:rPr>
          <w:rFonts w:hint="eastAsia"/>
        </w:rPr>
        <w:t>1.南海区住宅专项维修资金交存支持线上线下两种交存方式：</w:t>
      </w:r>
    </w:p>
    <w:p>
      <w:pPr>
        <w:ind w:firstLine="420"/>
      </w:pPr>
      <w:r>
        <w:rPr>
          <w:rFonts w:hint="eastAsia"/>
        </w:rPr>
        <w:t>(1)柜台交存模式：买受人持身份证、缴款通知书、购房合同到南海区指定的专户银行任一营业网点交存资金。</w:t>
      </w:r>
    </w:p>
    <w:p>
      <w:pPr>
        <w:ind w:firstLine="420"/>
      </w:pPr>
      <w:r>
        <w:rPr>
          <w:rFonts w:hint="eastAsia"/>
        </w:rPr>
        <w:t>(2)线上交存模式：买受人通过微信缴款通知书上的二维码交存资金。</w:t>
      </w:r>
    </w:p>
    <w:p>
      <w:r>
        <w:rPr>
          <w:rFonts w:hint="eastAsia"/>
        </w:rPr>
        <w:t>2.缴费支付前请仔细核对房屋交存信息，若与合同上的地址、金额等有误，请重新读取网签信息进行修正。</w:t>
      </w:r>
    </w:p>
    <w:p>
      <w:r>
        <w:rPr>
          <w:rFonts w:hint="eastAsia"/>
        </w:rPr>
        <w:t>3.缴费(线上)成功后，可重复扫二维码下载并打印电子版缴款通知书，维修资金成功缴费是合同备案条件之一。</w:t>
      </w:r>
    </w:p>
    <w:p>
      <w:r>
        <w:rPr>
          <w:rFonts w:hint="eastAsia"/>
        </w:rPr>
        <w:t>4.线上交存维修金目前暂不支持出具《住宅专项维修资金登记簿》电子版，如有需要出具登记簿的业主，可携带本人身份证及购房合同前往南海区内任一所属缴费银行网点领取纸质版登记簿。</w:t>
      </w:r>
    </w:p>
    <w:p>
      <w:r>
        <w:rPr>
          <w:rFonts w:hint="eastAsia"/>
        </w:rPr>
        <w:t>5.交存过程中如有任何问题及建议，可联系南海区住宅专项维修资金办公室。联系电话：0757-86260572，0757-86280766，0757-86320277。</w:t>
      </w:r>
    </w:p>
    <w:p>
      <w:r>
        <w:rPr>
          <w:rFonts w:hint="eastAsia"/>
        </w:rPr>
        <w:t>6.南海区维修资金归集银行开户行：</w:t>
      </w:r>
    </w:p>
    <w:p>
      <w:pPr>
        <w:ind w:firstLine="420"/>
      </w:pPr>
      <w:r>
        <w:rPr>
          <w:rFonts w:hint="eastAsia"/>
        </w:rPr>
        <w:t>(1)南海区农商行桂城海</w:t>
      </w:r>
      <w:bookmarkStart w:id="0" w:name="_GoBack"/>
      <w:bookmarkEnd w:id="0"/>
      <w:r>
        <w:rPr>
          <w:rFonts w:hint="eastAsia"/>
        </w:rPr>
        <w:t>南支行联系电话：0757-86297381  联系地址：佛山市南海区南海大道北86号。</w:t>
      </w:r>
    </w:p>
    <w:p>
      <w:pPr>
        <w:ind w:firstLine="420"/>
        <w:rPr>
          <w:rFonts w:hint="eastAsia"/>
        </w:rPr>
      </w:pPr>
      <w:r>
        <w:rPr>
          <w:rFonts w:hint="eastAsia"/>
        </w:rPr>
        <w:t>(2)南海区农业银行分行营业部，联系电话：0757-86332172   地址：佛山市南海区桂城南海大道北72号</w:t>
      </w:r>
    </w:p>
    <w:p>
      <w:r>
        <w:rPr>
          <w:rFonts w:hint="eastAsia"/>
        </w:rPr>
        <w:t>注：柜台缴款时，售房单位须在通知书上盖企业公章或合同专用章。</w:t>
      </w:r>
    </w:p>
    <w:p>
      <w:pPr>
        <w:pStyle w:val="3"/>
        <w:numPr>
          <w:ilvl w:val="0"/>
          <w:numId w:val="1"/>
        </w:numPr>
      </w:pPr>
      <w:r>
        <w:rPr>
          <w:rFonts w:hint="eastAsia"/>
        </w:rPr>
        <w:t>业主缴款流程指引</w:t>
      </w:r>
    </w:p>
    <w:p>
      <w:pPr>
        <w:pStyle w:val="14"/>
        <w:numPr>
          <w:ilvl w:val="0"/>
          <w:numId w:val="3"/>
        </w:numPr>
        <w:ind w:firstLineChars="0"/>
      </w:pPr>
      <w:r>
        <w:rPr>
          <w:rFonts w:hint="eastAsia"/>
        </w:rPr>
        <w:t>微信或手机浏览器扫描通知书</w:t>
      </w:r>
      <w:r>
        <w:rPr>
          <w:rFonts w:hint="eastAsia"/>
          <w:b/>
          <w:sz w:val="28"/>
          <w:szCs w:val="28"/>
        </w:rPr>
        <w:t>“原件”</w:t>
      </w:r>
      <w:r>
        <w:rPr>
          <w:rFonts w:hint="eastAsia"/>
        </w:rPr>
        <w:t>二维码，进入交存须知页面。</w:t>
      </w:r>
    </w:p>
    <w:p>
      <w:r>
        <w:drawing>
          <wp:inline distT="0" distB="0" distL="0" distR="0">
            <wp:extent cx="5151755" cy="147574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7"/>
                    <a:stretch>
                      <a:fillRect/>
                    </a:stretch>
                  </pic:blipFill>
                  <pic:spPr>
                    <a:xfrm>
                      <a:off x="0" y="0"/>
                      <a:ext cx="5152381" cy="1476190"/>
                    </a:xfrm>
                    <a:prstGeom prst="rect">
                      <a:avLst/>
                    </a:prstGeom>
                  </pic:spPr>
                </pic:pic>
              </a:graphicData>
            </a:graphic>
          </wp:inline>
        </w:drawing>
      </w:r>
    </w:p>
    <w:p>
      <w:pPr>
        <w:pStyle w:val="14"/>
        <w:numPr>
          <w:ilvl w:val="0"/>
          <w:numId w:val="3"/>
        </w:numPr>
        <w:ind w:firstLineChars="0"/>
      </w:pPr>
      <w:r>
        <w:rPr>
          <w:rFonts w:hint="eastAsia"/>
        </w:rPr>
        <w:t>阅读交存须知，并录入业主证件号后4位，点下一步进入信息确认页面</w:t>
      </w:r>
    </w:p>
    <w:p>
      <w:pPr>
        <w:jc w:val="center"/>
      </w:pPr>
      <w:r>
        <w:drawing>
          <wp:inline distT="0" distB="0" distL="114300" distR="114300">
            <wp:extent cx="3238500" cy="8267700"/>
            <wp:effectExtent l="0" t="0" r="0" b="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8"/>
                    <a:stretch>
                      <a:fillRect/>
                    </a:stretch>
                  </pic:blipFill>
                  <pic:spPr>
                    <a:xfrm>
                      <a:off x="0" y="0"/>
                      <a:ext cx="3238500" cy="8267700"/>
                    </a:xfrm>
                    <a:prstGeom prst="rect">
                      <a:avLst/>
                    </a:prstGeom>
                    <a:noFill/>
                    <a:ln>
                      <a:noFill/>
                    </a:ln>
                  </pic:spPr>
                </pic:pic>
              </a:graphicData>
            </a:graphic>
          </wp:inline>
        </w:drawing>
      </w:r>
    </w:p>
    <w:p>
      <w:pPr>
        <w:widowControl/>
        <w:jc w:val="left"/>
      </w:pPr>
      <w:r>
        <w:br w:type="page"/>
      </w:r>
    </w:p>
    <w:p>
      <w:pPr>
        <w:pStyle w:val="14"/>
        <w:numPr>
          <w:ilvl w:val="0"/>
          <w:numId w:val="3"/>
        </w:numPr>
        <w:ind w:firstLineChars="0"/>
        <w:jc w:val="left"/>
      </w:pPr>
      <w:r>
        <w:rPr>
          <w:rFonts w:hint="eastAsia"/>
        </w:rPr>
        <w:t>进入信息确认页面后，按下图描述确认信息，正确无误点击“支付”进入银行支付页面。</w:t>
      </w:r>
    </w:p>
    <w:p>
      <w:pPr>
        <w:jc w:val="center"/>
      </w:pPr>
      <w:r>
        <w:drawing>
          <wp:inline distT="0" distB="0" distL="114300" distR="114300">
            <wp:extent cx="6638290" cy="6915150"/>
            <wp:effectExtent l="0" t="0" r="10160" b="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9"/>
                    <a:stretch>
                      <a:fillRect/>
                    </a:stretch>
                  </pic:blipFill>
                  <pic:spPr>
                    <a:xfrm>
                      <a:off x="0" y="0"/>
                      <a:ext cx="6638290" cy="6915150"/>
                    </a:xfrm>
                    <a:prstGeom prst="rect">
                      <a:avLst/>
                    </a:prstGeom>
                    <a:noFill/>
                    <a:ln>
                      <a:noFill/>
                    </a:ln>
                  </pic:spPr>
                </pic:pic>
              </a:graphicData>
            </a:graphic>
          </wp:inline>
        </w:drawing>
      </w:r>
    </w:p>
    <w:p>
      <w:pPr>
        <w:widowControl/>
        <w:jc w:val="left"/>
      </w:pPr>
      <w:r>
        <w:br w:type="page"/>
      </w:r>
    </w:p>
    <w:p>
      <w:pPr>
        <w:pStyle w:val="14"/>
        <w:numPr>
          <w:ilvl w:val="0"/>
          <w:numId w:val="3"/>
        </w:numPr>
        <w:ind w:firstLineChars="0"/>
        <w:jc w:val="left"/>
      </w:pPr>
      <w:r>
        <w:t>以下支付页面因应选择银行不同而有所区别，仅供参考</w:t>
      </w:r>
    </w:p>
    <w:p>
      <w:pPr>
        <w:pStyle w:val="14"/>
        <w:ind w:left="360" w:firstLine="0" w:firstLineChars="0"/>
        <w:jc w:val="center"/>
      </w:pPr>
      <w:r>
        <w:drawing>
          <wp:inline distT="0" distB="0" distL="114300" distR="114300">
            <wp:extent cx="5271135" cy="6971030"/>
            <wp:effectExtent l="0" t="0" r="5715" b="127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5271135" cy="6971030"/>
                    </a:xfrm>
                    <a:prstGeom prst="rect">
                      <a:avLst/>
                    </a:prstGeom>
                    <a:noFill/>
                    <a:ln>
                      <a:noFill/>
                    </a:ln>
                  </pic:spPr>
                </pic:pic>
              </a:graphicData>
            </a:graphic>
          </wp:inline>
        </w:drawing>
      </w:r>
    </w:p>
    <w:p>
      <w:pPr>
        <w:jc w:val="center"/>
      </w:pPr>
      <w:r>
        <w:rPr>
          <w:rFonts w:hint="eastAsia"/>
        </w:rPr>
        <w:t>收款银行选择南海农商行时的页面参考</w:t>
      </w:r>
      <w:r>
        <w:drawing>
          <wp:inline distT="0" distB="0" distL="114300" distR="114300">
            <wp:extent cx="5269865" cy="7426325"/>
            <wp:effectExtent l="0" t="0" r="6985" b="317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11"/>
                    <a:stretch>
                      <a:fillRect/>
                    </a:stretch>
                  </pic:blipFill>
                  <pic:spPr>
                    <a:xfrm>
                      <a:off x="0" y="0"/>
                      <a:ext cx="5269865" cy="7426325"/>
                    </a:xfrm>
                    <a:prstGeom prst="rect">
                      <a:avLst/>
                    </a:prstGeom>
                    <a:noFill/>
                    <a:ln>
                      <a:noFill/>
                    </a:ln>
                  </pic:spPr>
                </pic:pic>
              </a:graphicData>
            </a:graphic>
          </wp:inline>
        </w:drawing>
      </w:r>
    </w:p>
    <w:p>
      <w:pPr>
        <w:jc w:val="center"/>
      </w:pPr>
      <w:r>
        <w:rPr>
          <w:rFonts w:hint="eastAsia"/>
        </w:rPr>
        <w:t>收款银行选择农业银行时的页面参考</w:t>
      </w:r>
    </w:p>
    <w:p>
      <w:pPr>
        <w:jc w:val="center"/>
      </w:pPr>
    </w:p>
    <w:p>
      <w:pPr>
        <w:jc w:val="center"/>
      </w:pPr>
    </w:p>
    <w:p>
      <w:pPr>
        <w:jc w:val="center"/>
      </w:pPr>
    </w:p>
    <w:p>
      <w:pPr>
        <w:widowControl/>
        <w:spacing w:line="240" w:lineRule="auto"/>
        <w:jc w:val="left"/>
      </w:pPr>
      <w:r>
        <w:br w:type="page"/>
      </w:r>
    </w:p>
    <w:p>
      <w:pPr>
        <w:pStyle w:val="14"/>
        <w:numPr>
          <w:ilvl w:val="0"/>
          <w:numId w:val="3"/>
        </w:numPr>
        <w:ind w:firstLineChars="0"/>
        <w:jc w:val="left"/>
      </w:pPr>
      <w:r>
        <w:t>支付完成后，如支付页面直接关闭，可以再次扫描缴款书二维码，进入交存须知页面再次验证业主证件号，查询缴款书状态。如果缴款成功，则显示如下页面</w:t>
      </w:r>
    </w:p>
    <w:p>
      <w:pPr>
        <w:pStyle w:val="14"/>
        <w:ind w:left="360" w:firstLine="0" w:firstLineChars="0"/>
        <w:jc w:val="left"/>
      </w:pPr>
      <w:r>
        <w:drawing>
          <wp:inline distT="0" distB="0" distL="0" distR="0">
            <wp:extent cx="3561715" cy="4190365"/>
            <wp:effectExtent l="0" t="0" r="635" b="63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2"/>
                    <a:stretch>
                      <a:fillRect/>
                    </a:stretch>
                  </pic:blipFill>
                  <pic:spPr>
                    <a:xfrm>
                      <a:off x="0" y="0"/>
                      <a:ext cx="3561905" cy="4190476"/>
                    </a:xfrm>
                    <a:prstGeom prst="rect">
                      <a:avLst/>
                    </a:prstGeom>
                  </pic:spPr>
                </pic:pic>
              </a:graphicData>
            </a:graphic>
          </wp:inline>
        </w:drawing>
      </w:r>
    </w:p>
    <w:p>
      <w:pPr>
        <w:widowControl/>
        <w:spacing w:line="240" w:lineRule="auto"/>
        <w:jc w:val="left"/>
      </w:pPr>
      <w:r>
        <w:br w:type="page"/>
      </w:r>
    </w:p>
    <w:p>
      <w:pPr>
        <w:pStyle w:val="14"/>
        <w:ind w:left="360" w:firstLine="0" w:firstLineChars="0"/>
        <w:jc w:val="left"/>
      </w:pPr>
    </w:p>
    <w:p>
      <w:pPr>
        <w:pStyle w:val="14"/>
        <w:numPr>
          <w:ilvl w:val="0"/>
          <w:numId w:val="3"/>
        </w:numPr>
        <w:ind w:firstLineChars="0"/>
        <w:jc w:val="left"/>
      </w:pPr>
      <w:r>
        <w:t>缴款书详情页面</w:t>
      </w:r>
    </w:p>
    <w:p>
      <w:pPr>
        <w:jc w:val="left"/>
      </w:pPr>
      <w:r>
        <w:drawing>
          <wp:inline distT="0" distB="0" distL="0" distR="0">
            <wp:extent cx="3542665" cy="3666490"/>
            <wp:effectExtent l="0" t="0" r="63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3"/>
                    <a:stretch>
                      <a:fillRect/>
                    </a:stretch>
                  </pic:blipFill>
                  <pic:spPr>
                    <a:xfrm>
                      <a:off x="0" y="0"/>
                      <a:ext cx="3542857" cy="3666667"/>
                    </a:xfrm>
                    <a:prstGeom prst="rect">
                      <a:avLst/>
                    </a:prstGeom>
                  </pic:spPr>
                </pic:pic>
              </a:graphicData>
            </a:graphic>
          </wp:inline>
        </w:drawing>
      </w:r>
    </w:p>
    <w:p>
      <w:pPr>
        <w:pStyle w:val="14"/>
        <w:ind w:left="360" w:firstLine="0" w:firstLineChars="0"/>
        <w:jc w:val="left"/>
      </w:pPr>
      <w:r>
        <w:rPr>
          <w:highlight w:val="lightGray"/>
        </w:rPr>
        <w:t>注：</w:t>
      </w:r>
      <w:r>
        <w:t>如扫码或缴款过程中，触发安全策略，可能会弹出错误页面，中断缴款，请</w:t>
      </w:r>
      <w:r>
        <w:rPr>
          <w:b/>
        </w:rPr>
        <w:t>稍后</w:t>
      </w:r>
      <w:r>
        <w:t>再重新扫码支付。</w:t>
      </w:r>
    </w:p>
    <w:p>
      <w:pPr>
        <w:pStyle w:val="14"/>
        <w:ind w:left="360" w:firstLine="0" w:firstLineChars="0"/>
        <w:jc w:val="left"/>
      </w:pPr>
    </w:p>
    <w:p>
      <w:pPr>
        <w:pStyle w:val="3"/>
        <w:numPr>
          <w:ilvl w:val="0"/>
          <w:numId w:val="1"/>
        </w:numPr>
      </w:pPr>
      <w:r>
        <w:rPr>
          <w:rFonts w:hint="eastAsia"/>
        </w:rPr>
        <w:t>关于电子凭据下载</w:t>
      </w:r>
    </w:p>
    <w:p>
      <w:pPr>
        <w:ind w:firstLine="420"/>
      </w:pPr>
      <w:r>
        <w:rPr>
          <w:rFonts w:hint="eastAsia"/>
        </w:rPr>
        <w:t>银行柜台完成缴款的，也可以扫描缴款书二维码，下载缴款书PDF文件。</w:t>
      </w:r>
    </w:p>
    <w:p>
      <w:pPr>
        <w:ind w:firstLine="420"/>
      </w:pPr>
      <w:r>
        <w:rPr>
          <w:rFonts w:hint="eastAsia"/>
        </w:rPr>
        <w:t>小技巧：业主完成缴款后，开发商可以直接打开缴款书打印预览功能，扫描二维码，获取电子版缴款书PDF文件，不需要业主发回。</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602B6F"/>
    <w:multiLevelType w:val="multilevel"/>
    <w:tmpl w:val="03602B6F"/>
    <w:lvl w:ilvl="0" w:tentative="0">
      <w:start w:val="1"/>
      <w:numFmt w:val="decimal"/>
      <w:lvlText w:val="%1、"/>
      <w:lvlJc w:val="left"/>
      <w:pPr>
        <w:ind w:left="510" w:hanging="51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9830D44"/>
    <w:multiLevelType w:val="multilevel"/>
    <w:tmpl w:val="09830D44"/>
    <w:lvl w:ilvl="0" w:tentative="0">
      <w:start w:val="1"/>
      <w:numFmt w:val="upperLetter"/>
      <w:lvlText w:val="%1、"/>
      <w:lvlJc w:val="left"/>
      <w:pPr>
        <w:ind w:left="870" w:hanging="360"/>
      </w:pPr>
      <w:rPr>
        <w:rFonts w:hint="default"/>
      </w:rPr>
    </w:lvl>
    <w:lvl w:ilvl="1" w:tentative="0">
      <w:start w:val="1"/>
      <w:numFmt w:val="lowerLetter"/>
      <w:lvlText w:val="%2)"/>
      <w:lvlJc w:val="left"/>
      <w:pPr>
        <w:ind w:left="1350" w:hanging="420"/>
      </w:pPr>
    </w:lvl>
    <w:lvl w:ilvl="2" w:tentative="0">
      <w:start w:val="1"/>
      <w:numFmt w:val="lowerRoman"/>
      <w:lvlText w:val="%3."/>
      <w:lvlJc w:val="right"/>
      <w:pPr>
        <w:ind w:left="1770" w:hanging="420"/>
      </w:pPr>
    </w:lvl>
    <w:lvl w:ilvl="3" w:tentative="0">
      <w:start w:val="1"/>
      <w:numFmt w:val="decimal"/>
      <w:lvlText w:val="%4."/>
      <w:lvlJc w:val="left"/>
      <w:pPr>
        <w:ind w:left="2190" w:hanging="420"/>
      </w:pPr>
    </w:lvl>
    <w:lvl w:ilvl="4" w:tentative="0">
      <w:start w:val="1"/>
      <w:numFmt w:val="lowerLetter"/>
      <w:lvlText w:val="%5)"/>
      <w:lvlJc w:val="left"/>
      <w:pPr>
        <w:ind w:left="2610" w:hanging="420"/>
      </w:pPr>
    </w:lvl>
    <w:lvl w:ilvl="5" w:tentative="0">
      <w:start w:val="1"/>
      <w:numFmt w:val="lowerRoman"/>
      <w:lvlText w:val="%6."/>
      <w:lvlJc w:val="right"/>
      <w:pPr>
        <w:ind w:left="3030" w:hanging="420"/>
      </w:pPr>
    </w:lvl>
    <w:lvl w:ilvl="6" w:tentative="0">
      <w:start w:val="1"/>
      <w:numFmt w:val="decimal"/>
      <w:lvlText w:val="%7."/>
      <w:lvlJc w:val="left"/>
      <w:pPr>
        <w:ind w:left="3450" w:hanging="420"/>
      </w:pPr>
    </w:lvl>
    <w:lvl w:ilvl="7" w:tentative="0">
      <w:start w:val="1"/>
      <w:numFmt w:val="lowerLetter"/>
      <w:lvlText w:val="%8)"/>
      <w:lvlJc w:val="left"/>
      <w:pPr>
        <w:ind w:left="3870" w:hanging="420"/>
      </w:pPr>
    </w:lvl>
    <w:lvl w:ilvl="8" w:tentative="0">
      <w:start w:val="1"/>
      <w:numFmt w:val="lowerRoman"/>
      <w:lvlText w:val="%9."/>
      <w:lvlJc w:val="right"/>
      <w:pPr>
        <w:ind w:left="4290" w:hanging="420"/>
      </w:pPr>
    </w:lvl>
  </w:abstractNum>
  <w:abstractNum w:abstractNumId="2">
    <w:nsid w:val="66BC1285"/>
    <w:multiLevelType w:val="multilevel"/>
    <w:tmpl w:val="66BC1285"/>
    <w:lvl w:ilvl="0" w:tentative="0">
      <w:start w:val="1"/>
      <w:numFmt w:val="upperLetter"/>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174FDF"/>
    <w:rsid w:val="00020302"/>
    <w:rsid w:val="00033E36"/>
    <w:rsid w:val="0005489B"/>
    <w:rsid w:val="00073740"/>
    <w:rsid w:val="000B6668"/>
    <w:rsid w:val="000D02DA"/>
    <w:rsid w:val="00174FDF"/>
    <w:rsid w:val="0019784D"/>
    <w:rsid w:val="001D04C7"/>
    <w:rsid w:val="001E281D"/>
    <w:rsid w:val="001F4D5E"/>
    <w:rsid w:val="00235539"/>
    <w:rsid w:val="002D347F"/>
    <w:rsid w:val="00316718"/>
    <w:rsid w:val="0033201B"/>
    <w:rsid w:val="0038060F"/>
    <w:rsid w:val="003D4158"/>
    <w:rsid w:val="003D586A"/>
    <w:rsid w:val="003E6D8C"/>
    <w:rsid w:val="00517E20"/>
    <w:rsid w:val="00644215"/>
    <w:rsid w:val="00687ACB"/>
    <w:rsid w:val="006A52FA"/>
    <w:rsid w:val="007C3BD3"/>
    <w:rsid w:val="00807243"/>
    <w:rsid w:val="008967FD"/>
    <w:rsid w:val="00905487"/>
    <w:rsid w:val="009B27F4"/>
    <w:rsid w:val="00AC4AB8"/>
    <w:rsid w:val="00AF76A9"/>
    <w:rsid w:val="00B23422"/>
    <w:rsid w:val="00B460E7"/>
    <w:rsid w:val="00B75ABB"/>
    <w:rsid w:val="00BA2BDE"/>
    <w:rsid w:val="00BD764B"/>
    <w:rsid w:val="00BE3D5E"/>
    <w:rsid w:val="00D577FB"/>
    <w:rsid w:val="00DA5E0D"/>
    <w:rsid w:val="00DE4179"/>
    <w:rsid w:val="00E249EB"/>
    <w:rsid w:val="00E321E3"/>
    <w:rsid w:val="00F11088"/>
    <w:rsid w:val="00F12664"/>
    <w:rsid w:val="00F55438"/>
    <w:rsid w:val="00F737B8"/>
    <w:rsid w:val="00FC2FD7"/>
    <w:rsid w:val="00FD376F"/>
    <w:rsid w:val="0F696162"/>
    <w:rsid w:val="25F23C39"/>
    <w:rsid w:val="326A312F"/>
    <w:rsid w:val="3A924C98"/>
    <w:rsid w:val="5644158A"/>
    <w:rsid w:val="6DA17625"/>
    <w:rsid w:val="7105095B"/>
    <w:rsid w:val="7A391A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3"/>
    <w:semiHidden/>
    <w:unhideWhenUsed/>
    <w:qFormat/>
    <w:uiPriority w:val="99"/>
    <w:rPr>
      <w:sz w:val="18"/>
      <w:szCs w:val="18"/>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 w:type="character" w:customStyle="1" w:styleId="11">
    <w:name w:val="标题 1 Char"/>
    <w:basedOn w:val="8"/>
    <w:link w:val="2"/>
    <w:qFormat/>
    <w:uiPriority w:val="9"/>
    <w:rPr>
      <w:b/>
      <w:bCs/>
      <w:kern w:val="44"/>
      <w:sz w:val="44"/>
      <w:szCs w:val="44"/>
    </w:rPr>
  </w:style>
  <w:style w:type="character" w:customStyle="1" w:styleId="12">
    <w:name w:val="标题 2 Char"/>
    <w:basedOn w:val="8"/>
    <w:link w:val="3"/>
    <w:qFormat/>
    <w:uiPriority w:val="9"/>
    <w:rPr>
      <w:rFonts w:asciiTheme="majorHAnsi" w:hAnsiTheme="majorHAnsi" w:eastAsiaTheme="majorEastAsia" w:cstheme="majorBidi"/>
      <w:b/>
      <w:bCs/>
      <w:sz w:val="32"/>
      <w:szCs w:val="32"/>
    </w:rPr>
  </w:style>
  <w:style w:type="character" w:customStyle="1" w:styleId="13">
    <w:name w:val="批注框文本 Char"/>
    <w:basedOn w:val="8"/>
    <w:link w:val="4"/>
    <w:semiHidden/>
    <w:qFormat/>
    <w:uiPriority w:val="99"/>
    <w:rPr>
      <w:sz w:val="18"/>
      <w:szCs w:val="18"/>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Regaltec</Company>
  <Pages>9</Pages>
  <Words>179</Words>
  <Characters>1025</Characters>
  <Lines>8</Lines>
  <Paragraphs>2</Paragraphs>
  <TotalTime>37</TotalTime>
  <ScaleCrop>false</ScaleCrop>
  <LinksUpToDate>false</LinksUpToDate>
  <CharactersWithSpaces>1202</CharactersWithSpaces>
  <Application>WPS Office_11.1.0.11372_F1E327BC-269C-435d-A152-05C5408002CA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2021-08-20T03:35:00Z</dcterms:created>
  <dc:creator>TWM</dc:creator>
  <cp:lastModifiedBy>唐</cp:lastModifiedBy>
  <dcterms:modified xsi:type="dcterms:W3CDTF">2022-05-20T07:17:28Z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378525449D7F46BF8A5A6453EF53E626</vt:lpwstr>
  </property>
</Properties>
</file>