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1</w:t>
      </w:r>
    </w:p>
    <w:p>
      <w:pPr>
        <w:pStyle w:val="6"/>
        <w:jc w:val="center"/>
        <w:rPr>
          <w:rFonts w:hint="eastAsia"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6"/>
          <w:szCs w:val="36"/>
          <w:lang w:eastAsia="zh-CN"/>
        </w:rPr>
        <w:t>南海区</w:t>
      </w:r>
      <w:r>
        <w:rPr>
          <w:rFonts w:hint="eastAsia" w:ascii="方正小标宋简体" w:eastAsia="方正小标宋简体"/>
          <w:sz w:val="36"/>
          <w:szCs w:val="36"/>
        </w:rPr>
        <w:t>预拌混凝土</w:t>
      </w:r>
      <w:r>
        <w:rPr>
          <w:rFonts w:hint="eastAsia" w:ascii="方正小标宋简体" w:eastAsia="方正小标宋简体"/>
          <w:sz w:val="36"/>
          <w:szCs w:val="36"/>
          <w:lang w:eastAsia="zh-CN"/>
        </w:rPr>
        <w:t>（</w:t>
      </w:r>
      <w:r>
        <w:rPr>
          <w:rFonts w:hint="eastAsia" w:ascii="方正小标宋简体" w:eastAsia="方正小标宋简体"/>
          <w:sz w:val="36"/>
          <w:szCs w:val="36"/>
        </w:rPr>
        <w:t>砂浆</w:t>
      </w:r>
      <w:r>
        <w:rPr>
          <w:rFonts w:hint="eastAsia" w:ascii="方正小标宋简体" w:eastAsia="方正小标宋简体"/>
          <w:sz w:val="36"/>
          <w:szCs w:val="36"/>
          <w:lang w:eastAsia="zh-CN"/>
        </w:rPr>
        <w:t>）质量</w:t>
      </w:r>
      <w:r>
        <w:rPr>
          <w:rFonts w:hint="eastAsia" w:ascii="方正小标宋简体" w:eastAsia="方正小标宋简体"/>
          <w:sz w:val="36"/>
          <w:szCs w:val="36"/>
        </w:rPr>
        <w:t xml:space="preserve">检查表 </w:t>
      </w:r>
    </w:p>
    <w:p>
      <w:pPr>
        <w:spacing w:line="560" w:lineRule="exact"/>
        <w:ind w:firstLine="480" w:firstLineChars="200"/>
        <w:rPr>
          <w:rFonts w:hint="eastAsia" w:ascii="宋体"/>
          <w:sz w:val="24"/>
        </w:rPr>
      </w:pPr>
      <w:r>
        <w:rPr>
          <w:rFonts w:hint="eastAsia" w:ascii="宋体"/>
          <w:sz w:val="24"/>
        </w:rPr>
        <w:t xml:space="preserve">企业名称：                                    </w:t>
      </w:r>
      <w:r>
        <w:rPr>
          <w:rFonts w:hint="eastAsia" w:ascii="宋体"/>
          <w:sz w:val="24"/>
          <w:lang w:val="en-US" w:eastAsia="zh-CN"/>
        </w:rPr>
        <w:t xml:space="preserve">   </w:t>
      </w:r>
      <w:r>
        <w:rPr>
          <w:rFonts w:hint="eastAsia" w:ascii="宋体"/>
          <w:sz w:val="24"/>
        </w:rPr>
        <w:t xml:space="preserve">  检查时间：</w:t>
      </w:r>
    </w:p>
    <w:tbl>
      <w:tblPr>
        <w:tblStyle w:val="4"/>
        <w:tblpPr w:leftFromText="180" w:rightFromText="180" w:vertAnchor="text" w:horzAnchor="page" w:tblpX="1277" w:tblpY="314"/>
        <w:tblOverlap w:val="never"/>
        <w:tblW w:w="9855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8"/>
        <w:gridCol w:w="4290"/>
        <w:gridCol w:w="423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</w:trPr>
        <w:tc>
          <w:tcPr>
            <w:tcW w:w="13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spacing w:val="-2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</w:rPr>
              <w:t>项目</w:t>
            </w:r>
          </w:p>
        </w:tc>
        <w:tc>
          <w:tcPr>
            <w:tcW w:w="429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</w:rPr>
              <w:t>检查内容</w:t>
            </w:r>
          </w:p>
        </w:tc>
        <w:tc>
          <w:tcPr>
            <w:tcW w:w="423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</w:rPr>
              <w:t>检查情况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9" w:hRule="atLeast"/>
        </w:trPr>
        <w:tc>
          <w:tcPr>
            <w:tcW w:w="13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（一）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/>
                <w14:textFill>
                  <w14:solidFill>
                    <w14:schemeClr w14:val="tx1"/>
                  </w14:solidFill>
                </w14:textFill>
              </w:rPr>
              <w:t>预拌混凝土（砂浆）合同和制度管理情况</w:t>
            </w:r>
          </w:p>
        </w:tc>
        <w:tc>
          <w:tcPr>
            <w:tcW w:w="429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1.供货合同签订是否完善，并建立合同管理台账。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 w:bidi="ar-SA"/>
                <w14:textFill>
                  <w14:solidFill>
                    <w14:schemeClr w14:val="tx1"/>
                  </w14:solidFill>
                </w14:textFill>
              </w:rPr>
              <w:t>合同是否注明产品标准、强度、坍落度等技术指标和强度评定方法，注明对预拌混凝土（砂浆）使用砂的来源、种类和氯离子含量的质量要求。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3.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 w:bidi="ar-SA"/>
                <w14:textFill>
                  <w14:solidFill>
                    <w14:schemeClr w14:val="tx1"/>
                  </w14:solidFill>
                </w14:textFill>
              </w:rPr>
              <w:t>海砂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是否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 w:bidi="ar-SA"/>
                <w14:textFill>
                  <w14:solidFill>
                    <w14:schemeClr w14:val="tx1"/>
                  </w14:solidFill>
                </w14:textFill>
              </w:rPr>
              <w:t>应用于预应力混凝土、钢纤维混凝土以及有特殊要求的钢筋混凝土中。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4.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 w:bidi="ar-SA"/>
                <w14:textFill>
                  <w14:solidFill>
                    <w14:schemeClr w14:val="tx1"/>
                  </w14:solidFill>
                </w14:textFill>
              </w:rPr>
              <w:t>建立砂和混凝土氯离子检测负责人制度情况（企业法定代表人是第一负责人、技术负责人是第二负责人、实验室主任是第三负责人，检测员是第四负责人，所有氯离子的检测台账要求四名人员签字确认）</w:t>
            </w:r>
          </w:p>
        </w:tc>
        <w:tc>
          <w:tcPr>
            <w:tcW w:w="423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5" w:hRule="atLeast"/>
        </w:trPr>
        <w:tc>
          <w:tcPr>
            <w:tcW w:w="13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（二）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/>
                <w14:textFill>
                  <w14:solidFill>
                    <w14:schemeClr w14:val="tx1"/>
                  </w14:solidFill>
                </w14:textFill>
              </w:rPr>
              <w:t>原材料管理情况</w:t>
            </w:r>
          </w:p>
        </w:tc>
        <w:tc>
          <w:tcPr>
            <w:tcW w:w="429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严格实施原材料进场检验制度。加强原材料进场检验和质量控制，建立完善原材料采购管理制度和原材料使用台账，实现原材料使用的可追溯性。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1.抽查原材料合格证及质量证明材料、进货、检验台账、试验原始记录、试验报告。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ind w:left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2.自检和送检比例是否符合规范要求，每个品种每个月送检不少于一次送有资质的检测单位进行检测。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3.原材料及产品不合格品台账记录及处理情况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  <w:tc>
          <w:tcPr>
            <w:tcW w:w="423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9" w:hRule="atLeast"/>
        </w:trPr>
        <w:tc>
          <w:tcPr>
            <w:tcW w:w="13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numPr>
                <w:ilvl w:val="0"/>
                <w:numId w:val="1"/>
              </w:numPr>
              <w:jc w:val="both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/>
                <w14:textFill>
                  <w14:solidFill>
                    <w14:schemeClr w14:val="tx1"/>
                  </w14:solidFill>
                </w14:textFill>
              </w:rPr>
              <w:t>生产用砂及海砂、人工砂的使用情况</w:t>
            </w:r>
          </w:p>
          <w:p>
            <w:pPr>
              <w:numPr>
                <w:ilvl w:val="0"/>
                <w:numId w:val="0"/>
              </w:numPr>
              <w:jc w:val="both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29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1.企业是否加强对建筑用砂的采购、检验和使用台账等环节的管理，应包括种类、来源（产地）以及用量记录，各种类砂是否按相应的技术规程要求的技术指标进行检测。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ind w:left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2.企业使用海砂是否符合《海砂混凝土应用技术规范》的技术指标要求对含泥量、氯离子含量、贝壳含量、有害物质含量等进行检测，以及检测合格的证明文件。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ind w:left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3.企业使用人工砂是否符合《人工砂混凝土应用技术规程》的技术指标要求对颗粒级配、石粉含量、吸水率、压碎值等进行检测，以及检测合格的证明文件。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64" w:lineRule="auto"/>
              <w:ind w:left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4.使用混合砂是否经过试验确定比例。</w:t>
            </w:r>
            <w:bookmarkStart w:id="0" w:name="_GoBack"/>
            <w:bookmarkEnd w:id="0"/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64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5.砂的氯离子检测是否符合“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 w:bidi="ar-SA"/>
                <w14:textFill>
                  <w14:solidFill>
                    <w14:schemeClr w14:val="tx1"/>
                  </w14:solidFill>
                </w14:textFill>
              </w:rPr>
              <w:t>砂和混凝土氯离子检测负责人制度”。</w:t>
            </w:r>
          </w:p>
        </w:tc>
        <w:tc>
          <w:tcPr>
            <w:tcW w:w="423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46" w:hRule="atLeast"/>
        </w:trPr>
        <w:tc>
          <w:tcPr>
            <w:tcW w:w="132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（四）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/>
                <w14:textFill>
                  <w14:solidFill>
                    <w14:schemeClr w14:val="tx1"/>
                  </w14:solidFill>
                </w14:textFill>
              </w:rPr>
              <w:t>对预拌混凝土（砂浆）生产质量控制情况</w:t>
            </w:r>
          </w:p>
        </w:tc>
        <w:tc>
          <w:tcPr>
            <w:tcW w:w="429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64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/>
                <w14:textFill>
                  <w14:solidFill>
                    <w14:schemeClr w14:val="tx1"/>
                  </w14:solidFill>
                </w14:textFill>
              </w:rPr>
              <w:t>是否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 w:bidi="ar-SA"/>
                <w14:textFill>
                  <w14:solidFill>
                    <w14:schemeClr w14:val="tx1"/>
                  </w14:solidFill>
                </w14:textFill>
              </w:rPr>
              <w:t>建立质量管理制度、产品质量保证体系和产品质量跟踪制度，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是否对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 w:bidi="ar-SA"/>
                <w14:textFill>
                  <w14:solidFill>
                    <w14:schemeClr w14:val="tx1"/>
                  </w14:solidFill>
                </w14:textFill>
              </w:rPr>
              <w:t>预拌混凝土出厂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产品取样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 w:bidi="ar-SA"/>
                <w14:textFill>
                  <w14:solidFill>
                    <w14:schemeClr w14:val="tx1"/>
                  </w14:solidFill>
                </w14:textFill>
              </w:rPr>
              <w:t>检验，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并对检验资料存档；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 w:bidi="ar-SA"/>
                <w14:textFill>
                  <w14:solidFill>
                    <w14:schemeClr w14:val="tx1"/>
                  </w14:solidFill>
                </w14:textFill>
              </w:rPr>
              <w:t>按规定提供预拌混凝土发货单和出厂合格证，保证预拌混凝土产品质量，抽查是否有出厂混凝土氯离子含量检验合格证明材料。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64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 w:bidi="ar-SA"/>
                <w14:textFill>
                  <w14:solidFill>
                    <w14:schemeClr w14:val="tx1"/>
                  </w14:solidFill>
                </w14:textFill>
              </w:rPr>
              <w:t>严把混凝土配合比关，是否严格执行国家标准和供货合同，根据混凝土强度等级、耐久性和工作环境等要求进行配合比设计。抽查配合比设计计算书、试配记录、配合比台账；抽查下达生产配合比、配料清单、计量误差、计量复零等记录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64" w:lineRule="auto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3.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 w:bidi="ar-SA"/>
                <w14:textFill>
                  <w14:solidFill>
                    <w14:schemeClr w14:val="tx1"/>
                  </w14:solidFill>
                </w14:textFill>
              </w:rPr>
              <w:t>每半年及材料等变化时是否及时更新混凝土（砂浆）配合比设计及台账。</w:t>
            </w:r>
          </w:p>
        </w:tc>
        <w:tc>
          <w:tcPr>
            <w:tcW w:w="423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62" w:beforeLines="20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5" w:hRule="atLeast"/>
        </w:trPr>
        <w:tc>
          <w:tcPr>
            <w:tcW w:w="13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eastAsia="zh-CN"/>
              </w:rPr>
              <w:t>（五）预拌混凝土（砂浆）生产运输、验收管理情况</w:t>
            </w:r>
          </w:p>
        </w:tc>
        <w:tc>
          <w:tcPr>
            <w:tcW w:w="42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64" w:lineRule="auto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 w:bidi="ar-SA"/>
              </w:rPr>
              <w:t>1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.每辆搅拌运输车是否经过对混凝土拌合物的均匀性及坍落度等检验，合格后才能出厂，并做好记录备案。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64" w:lineRule="auto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.生产企业是否随车及时提供相关质量证明文件资料，包括混凝土送货单、混凝土生产信息登记回执、混凝土施工配料通知单和原材料出厂合格证、检验报告，以及预拌混凝土生产用砂氯离子含量合格证明文件等资料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64" w:lineRule="auto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3.预拌混凝土（砂浆）三方交货验收情况，抽查验收内容是否包括：预拌混凝土类别、数量，搅拌运输车的进场时间和卸料完毕时间，混凝土的坍落度和混凝土拌合物中水溶性氯离子含量检测记录等。</w:t>
            </w:r>
          </w:p>
        </w:tc>
        <w:tc>
          <w:tcPr>
            <w:tcW w:w="423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9" w:hRule="atLeast"/>
        </w:trPr>
        <w:tc>
          <w:tcPr>
            <w:tcW w:w="1328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（六）生产、试验设备计量检定情况</w:t>
            </w:r>
          </w:p>
        </w:tc>
        <w:tc>
          <w:tcPr>
            <w:tcW w:w="4290" w:type="dxa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64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按要求配置生产及试验仪器设备，并经计量部门检定/校准，结果是否符合标准要求</w:t>
            </w:r>
          </w:p>
        </w:tc>
        <w:tc>
          <w:tcPr>
            <w:tcW w:w="423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9" w:hRule="atLeast"/>
        </w:trPr>
        <w:tc>
          <w:tcPr>
            <w:tcW w:w="13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（七）试件管理及质量管理记录</w:t>
            </w:r>
          </w:p>
        </w:tc>
        <w:tc>
          <w:tcPr>
            <w:tcW w:w="429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64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1.养护室条件、试件留置数量、名称编写以及试件检测情况。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64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2.质量回访及满意度调查记录、质量事故处理记录，质量体系内审报告及年度评审报告。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64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3.对以往检查发现问题的整改回复情况。</w:t>
            </w:r>
          </w:p>
        </w:tc>
        <w:tc>
          <w:tcPr>
            <w:tcW w:w="423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8" w:hRule="atLeast"/>
        </w:trPr>
        <w:tc>
          <w:tcPr>
            <w:tcW w:w="1328" w:type="dxa"/>
            <w:tcBorders>
              <w:top w:val="single" w:color="000000" w:sz="4" w:space="0"/>
              <w:left w:val="single" w:color="000000" w:sz="4" w:space="0"/>
              <w:bottom w:val="double" w:color="auto" w:sz="2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（八）数据统计分析及比对抽查情况</w:t>
            </w:r>
          </w:p>
        </w:tc>
        <w:tc>
          <w:tcPr>
            <w:tcW w:w="4290" w:type="dxa"/>
            <w:tcBorders>
              <w:top w:val="single" w:color="000000" w:sz="4" w:space="0"/>
              <w:left w:val="nil"/>
              <w:bottom w:val="double" w:color="auto" w:sz="2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64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1.每月定期对生产数据及试验数据进行统计分析并形成报表，提出改善计划，生产数据是否按时上传佛山市混凝土质量追踪及动态监管系统。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64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2.应建立比对抽查检验制度，每年是否开展不少于两次的人员、设备或方法间的内部比对，不少于一次的试验室间能力验证的外部比对。</w:t>
            </w:r>
          </w:p>
        </w:tc>
        <w:tc>
          <w:tcPr>
            <w:tcW w:w="4237" w:type="dxa"/>
            <w:tcBorders>
              <w:top w:val="single" w:color="000000" w:sz="4" w:space="0"/>
              <w:left w:val="nil"/>
              <w:bottom w:val="double" w:color="auto" w:sz="2" w:space="0"/>
              <w:right w:val="single" w:color="000000" w:sz="4" w:space="0"/>
            </w:tcBorders>
            <w:vAlign w:val="bottom"/>
          </w:tcPr>
          <w:p>
            <w:pPr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  <w:p>
            <w:pPr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8" w:hRule="atLeast"/>
        </w:trPr>
        <w:tc>
          <w:tcPr>
            <w:tcW w:w="1328" w:type="dxa"/>
            <w:tcBorders>
              <w:top w:val="single" w:color="000000" w:sz="4" w:space="0"/>
              <w:left w:val="single" w:color="000000" w:sz="4" w:space="0"/>
              <w:bottom w:val="double" w:color="auto" w:sz="2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eastAsia="zh-CN"/>
              </w:rPr>
              <w:t>其他情况</w:t>
            </w:r>
          </w:p>
        </w:tc>
        <w:tc>
          <w:tcPr>
            <w:tcW w:w="8527" w:type="dxa"/>
            <w:gridSpan w:val="2"/>
            <w:tcBorders>
              <w:top w:val="single" w:color="000000" w:sz="4" w:space="0"/>
              <w:left w:val="nil"/>
              <w:bottom w:val="double" w:color="auto" w:sz="2" w:space="0"/>
              <w:right w:val="single" w:color="000000" w:sz="4" w:space="0"/>
            </w:tcBorders>
            <w:vAlign w:val="center"/>
          </w:tcPr>
          <w:p>
            <w:pPr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  <w:p>
            <w:pPr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  <w:p>
            <w:pPr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  <w:p>
            <w:pPr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6" w:hRule="atLeast"/>
        </w:trPr>
        <w:tc>
          <w:tcPr>
            <w:tcW w:w="1328" w:type="dxa"/>
            <w:tcBorders>
              <w:top w:val="double" w:color="auto" w:sz="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  <w:t>检查组</w:t>
            </w:r>
          </w:p>
          <w:p>
            <w:pPr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  <w:t>意见</w:t>
            </w:r>
          </w:p>
        </w:tc>
        <w:tc>
          <w:tcPr>
            <w:tcW w:w="8527" w:type="dxa"/>
            <w:gridSpan w:val="2"/>
            <w:tcBorders>
              <w:top w:val="double" w:color="auto" w:sz="2" w:space="0"/>
              <w:left w:val="nil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  <w:t>检查组成员签名：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1" w:hRule="atLeast"/>
        </w:trPr>
        <w:tc>
          <w:tcPr>
            <w:tcW w:w="985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  <w:t>企业负责人签名：</w:t>
            </w:r>
          </w:p>
        </w:tc>
      </w:tr>
    </w:tbl>
    <w:p>
      <w:pPr>
        <w:rPr>
          <w:rFonts w:hint="eastAsia" w:ascii="仿宋_GB2312" w:hAnsi="仿宋_GB2312" w:eastAsia="仿宋_GB2312" w:cs="仿宋_GB2312"/>
          <w:b/>
          <w:bCs/>
        </w:rPr>
      </w:pPr>
    </w:p>
    <w:sectPr>
      <w:headerReference r:id="rId3" w:type="default"/>
      <w:footerReference r:id="rId4" w:type="default"/>
      <w:pgSz w:w="11906" w:h="16838"/>
      <w:pgMar w:top="607" w:right="720" w:bottom="607" w:left="72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/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108EB12"/>
    <w:multiLevelType w:val="singleLevel"/>
    <w:tmpl w:val="6108EB12"/>
    <w:lvl w:ilvl="0" w:tentative="0">
      <w:start w:val="3"/>
      <w:numFmt w:val="chineseCounting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BA715B"/>
    <w:rsid w:val="03B74A47"/>
    <w:rsid w:val="04910511"/>
    <w:rsid w:val="051712E7"/>
    <w:rsid w:val="05854BC2"/>
    <w:rsid w:val="05D76A9E"/>
    <w:rsid w:val="05E454C8"/>
    <w:rsid w:val="05F35C47"/>
    <w:rsid w:val="06671121"/>
    <w:rsid w:val="081E61AE"/>
    <w:rsid w:val="085826BE"/>
    <w:rsid w:val="088D750C"/>
    <w:rsid w:val="089E4EA7"/>
    <w:rsid w:val="08F479C1"/>
    <w:rsid w:val="091A235B"/>
    <w:rsid w:val="0DF315B9"/>
    <w:rsid w:val="0E1A6E14"/>
    <w:rsid w:val="0E9847A7"/>
    <w:rsid w:val="123664B5"/>
    <w:rsid w:val="125F5992"/>
    <w:rsid w:val="12D7071C"/>
    <w:rsid w:val="13DA67C2"/>
    <w:rsid w:val="14F4755B"/>
    <w:rsid w:val="154B41FA"/>
    <w:rsid w:val="164D70B5"/>
    <w:rsid w:val="16791017"/>
    <w:rsid w:val="16811210"/>
    <w:rsid w:val="1817654E"/>
    <w:rsid w:val="181A0CCA"/>
    <w:rsid w:val="1B634040"/>
    <w:rsid w:val="1C446DA1"/>
    <w:rsid w:val="20296737"/>
    <w:rsid w:val="204076D5"/>
    <w:rsid w:val="207427C4"/>
    <w:rsid w:val="20A67110"/>
    <w:rsid w:val="21152A49"/>
    <w:rsid w:val="21512D44"/>
    <w:rsid w:val="22095CDF"/>
    <w:rsid w:val="229C22CF"/>
    <w:rsid w:val="23171C19"/>
    <w:rsid w:val="23D51555"/>
    <w:rsid w:val="23F44386"/>
    <w:rsid w:val="26C23CB6"/>
    <w:rsid w:val="2A445257"/>
    <w:rsid w:val="2AC46C1F"/>
    <w:rsid w:val="2BA778BB"/>
    <w:rsid w:val="2BBD5A47"/>
    <w:rsid w:val="2BC53BAC"/>
    <w:rsid w:val="2CFA6A49"/>
    <w:rsid w:val="2D277B51"/>
    <w:rsid w:val="2D3C0DF0"/>
    <w:rsid w:val="2D490254"/>
    <w:rsid w:val="2EAA2013"/>
    <w:rsid w:val="2ED466EA"/>
    <w:rsid w:val="30001A4B"/>
    <w:rsid w:val="302B3A12"/>
    <w:rsid w:val="30A21CDF"/>
    <w:rsid w:val="30CB335F"/>
    <w:rsid w:val="31CF56A1"/>
    <w:rsid w:val="32AA4E5D"/>
    <w:rsid w:val="34EB3CB6"/>
    <w:rsid w:val="35281C6F"/>
    <w:rsid w:val="359D6A81"/>
    <w:rsid w:val="36D83BBD"/>
    <w:rsid w:val="381F42A9"/>
    <w:rsid w:val="39BA0543"/>
    <w:rsid w:val="3A0E6D0B"/>
    <w:rsid w:val="3AA60945"/>
    <w:rsid w:val="3AE35433"/>
    <w:rsid w:val="3BBE60DC"/>
    <w:rsid w:val="3E797608"/>
    <w:rsid w:val="3F9D0FD6"/>
    <w:rsid w:val="3FE83C99"/>
    <w:rsid w:val="41621098"/>
    <w:rsid w:val="42D55903"/>
    <w:rsid w:val="432E4AB5"/>
    <w:rsid w:val="434C540E"/>
    <w:rsid w:val="445B3B08"/>
    <w:rsid w:val="448E61AB"/>
    <w:rsid w:val="45286A6E"/>
    <w:rsid w:val="463742BE"/>
    <w:rsid w:val="46532819"/>
    <w:rsid w:val="48387993"/>
    <w:rsid w:val="48513BB1"/>
    <w:rsid w:val="494C7EBD"/>
    <w:rsid w:val="49764711"/>
    <w:rsid w:val="4A8A67D8"/>
    <w:rsid w:val="4AC0341C"/>
    <w:rsid w:val="4B9861C7"/>
    <w:rsid w:val="4C3A04FC"/>
    <w:rsid w:val="4C797A76"/>
    <w:rsid w:val="4D4C2BE0"/>
    <w:rsid w:val="4EF03C31"/>
    <w:rsid w:val="4F2F5DB2"/>
    <w:rsid w:val="4F3D1867"/>
    <w:rsid w:val="4F5B4BB8"/>
    <w:rsid w:val="50FF1248"/>
    <w:rsid w:val="52641C8A"/>
    <w:rsid w:val="52BE6127"/>
    <w:rsid w:val="52DF6D59"/>
    <w:rsid w:val="53A6371F"/>
    <w:rsid w:val="549E7E0D"/>
    <w:rsid w:val="54BE35D1"/>
    <w:rsid w:val="55D246BA"/>
    <w:rsid w:val="5691173F"/>
    <w:rsid w:val="57796DD5"/>
    <w:rsid w:val="57AA373A"/>
    <w:rsid w:val="581A63D3"/>
    <w:rsid w:val="59DF1CFD"/>
    <w:rsid w:val="59F31361"/>
    <w:rsid w:val="5A132FE2"/>
    <w:rsid w:val="5B522C5A"/>
    <w:rsid w:val="5BDC3B5B"/>
    <w:rsid w:val="5C566D7C"/>
    <w:rsid w:val="5E8C6D4D"/>
    <w:rsid w:val="602D322E"/>
    <w:rsid w:val="60313CCF"/>
    <w:rsid w:val="6210676F"/>
    <w:rsid w:val="62716181"/>
    <w:rsid w:val="630A6D75"/>
    <w:rsid w:val="63166022"/>
    <w:rsid w:val="64E82BD6"/>
    <w:rsid w:val="650A1BDE"/>
    <w:rsid w:val="652D3912"/>
    <w:rsid w:val="65E23079"/>
    <w:rsid w:val="66AD2046"/>
    <w:rsid w:val="674440FF"/>
    <w:rsid w:val="688F3ACE"/>
    <w:rsid w:val="69393E72"/>
    <w:rsid w:val="697B33E6"/>
    <w:rsid w:val="6AF85DED"/>
    <w:rsid w:val="6AFD2821"/>
    <w:rsid w:val="6B2F6E13"/>
    <w:rsid w:val="6E0158CA"/>
    <w:rsid w:val="6E074749"/>
    <w:rsid w:val="6EAF3E8A"/>
    <w:rsid w:val="6EC667F4"/>
    <w:rsid w:val="70534975"/>
    <w:rsid w:val="70561CAB"/>
    <w:rsid w:val="70BF2AB0"/>
    <w:rsid w:val="715C5C10"/>
    <w:rsid w:val="72451E90"/>
    <w:rsid w:val="73765716"/>
    <w:rsid w:val="73880850"/>
    <w:rsid w:val="74D64C35"/>
    <w:rsid w:val="75265892"/>
    <w:rsid w:val="75BF2840"/>
    <w:rsid w:val="76BC5F8F"/>
    <w:rsid w:val="78274D9D"/>
    <w:rsid w:val="783F4A9C"/>
    <w:rsid w:val="78891A4D"/>
    <w:rsid w:val="798970C7"/>
    <w:rsid w:val="79C1172E"/>
    <w:rsid w:val="7C4279C3"/>
    <w:rsid w:val="7EB52789"/>
    <w:rsid w:val="7EC91827"/>
    <w:rsid w:val="7F275D4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6">
    <w:name w:val="正文 New New New New New New New New New"/>
    <w:basedOn w:val="1"/>
    <w:qFormat/>
    <w:uiPriority w:val="0"/>
    <w:rPr>
      <w:rFonts w:ascii="仿宋_GB2312" w:hAnsi="宋体" w:eastAsia="仿宋_GB2312" w:cs="宋体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Concourse">
      <a:majorFont>
        <a:latin typeface="Lucida Sans Unicode"/>
        <a:ea typeface=""/>
        <a:cs typeface=""/>
        <a:font script="Jpan" typeface="ＭＳ Ｐゴシック"/>
        <a:font script="Hang" typeface="맑은 고딕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Uigh" typeface="Microsoft Uighur"/>
        <a:font script="Geor" typeface="Sylfaen"/>
      </a:majorFont>
      <a:minorFont>
        <a:latin typeface="Lucida Sans Unicode"/>
        <a:ea typeface=""/>
        <a:cs typeface=""/>
        <a:font script="Jpan" typeface="ＭＳ Ｐゴシック"/>
        <a:font script="Hang" typeface="맑은 고딕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严红</cp:lastModifiedBy>
  <cp:lastPrinted>2023-03-16T02:29:00Z</cp:lastPrinted>
  <dcterms:modified xsi:type="dcterms:W3CDTF">2023-03-17T00:59:04Z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F361D95833C44CF7B6B5E12FEAF4A324</vt:lpwstr>
  </property>
</Properties>
</file>