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2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1320" w:firstLineChars="300"/>
        <w:jc w:val="left"/>
        <w:textAlignment w:val="auto"/>
        <w:outlineLvl w:val="9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南海区建筑工程质量监督抽查表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center"/>
        <w:textAlignment w:val="auto"/>
        <w:outlineLvl w:val="9"/>
        <w:rPr>
          <w:b/>
          <w:sz w:val="32"/>
          <w:szCs w:val="44"/>
        </w:rPr>
      </w:pPr>
      <w:r>
        <w:rPr>
          <w:rFonts w:hint="eastAsia"/>
          <w:bCs/>
          <w:sz w:val="32"/>
          <w:szCs w:val="44"/>
          <w:lang w:val="en-US" w:eastAsia="zh-CN"/>
        </w:rPr>
        <w:t xml:space="preserve">    </w:t>
      </w:r>
      <w:r>
        <w:rPr>
          <w:rFonts w:hint="eastAsia"/>
          <w:bCs/>
          <w:sz w:val="32"/>
          <w:szCs w:val="44"/>
        </w:rPr>
        <w:t>（</w:t>
      </w:r>
      <w:r>
        <w:rPr>
          <w:rFonts w:hint="eastAsia"/>
          <w:bCs/>
          <w:color w:val="000000" w:themeColor="text1"/>
          <w:sz w:val="32"/>
          <w:szCs w:val="44"/>
          <w:lang w:eastAsia="zh-CN"/>
          <w14:textFill>
            <w14:solidFill>
              <w14:schemeClr w14:val="tx1"/>
            </w14:solidFill>
          </w14:textFill>
        </w:rPr>
        <w:t>建筑</w:t>
      </w:r>
      <w:r>
        <w:rPr>
          <w:rFonts w:hint="eastAsia"/>
          <w:bCs/>
          <w:color w:val="000000" w:themeColor="text1"/>
          <w:sz w:val="32"/>
          <w:szCs w:val="44"/>
          <w:lang w:val="en-US" w:eastAsia="zh-CN"/>
          <w14:textFill>
            <w14:solidFill>
              <w14:schemeClr w14:val="tx1"/>
            </w14:solidFill>
          </w14:textFill>
        </w:rPr>
        <w:t>原材料、</w:t>
      </w:r>
      <w:r>
        <w:rPr>
          <w:rFonts w:hint="eastAsia"/>
          <w:bCs/>
          <w:sz w:val="32"/>
          <w:szCs w:val="44"/>
        </w:rPr>
        <w:t>试件管理</w:t>
      </w:r>
      <w:r>
        <w:rPr>
          <w:rFonts w:hint="eastAsia"/>
          <w:bCs/>
          <w:sz w:val="32"/>
          <w:szCs w:val="44"/>
          <w:lang w:eastAsia="zh-CN"/>
        </w:rPr>
        <w:t>、</w:t>
      </w:r>
      <w:r>
        <w:rPr>
          <w:rFonts w:hint="eastAsia"/>
          <w:bCs/>
          <w:sz w:val="32"/>
          <w:szCs w:val="44"/>
          <w:lang w:val="en-US" w:eastAsia="zh-CN"/>
        </w:rPr>
        <w:t>砂</w:t>
      </w:r>
      <w:r>
        <w:rPr>
          <w:rFonts w:hint="eastAsia"/>
          <w:bCs/>
          <w:sz w:val="32"/>
          <w:szCs w:val="44"/>
          <w:lang w:eastAsia="zh-CN"/>
        </w:rPr>
        <w:t>及混凝土氯离子检测情况</w:t>
      </w:r>
      <w:r>
        <w:rPr>
          <w:rFonts w:hint="eastAsia"/>
          <w:bCs/>
          <w:sz w:val="32"/>
          <w:szCs w:val="44"/>
        </w:rPr>
        <w:t>）</w:t>
      </w:r>
      <w:bookmarkEnd w:id="0"/>
      <w:r>
        <w:rPr>
          <w:rFonts w:hint="eastAsia"/>
          <w:bCs/>
          <w:sz w:val="32"/>
          <w:szCs w:val="44"/>
        </w:rPr>
        <w:tab/>
      </w:r>
      <w:r>
        <w:rPr>
          <w:rFonts w:hint="eastAsia"/>
          <w:b/>
          <w:sz w:val="32"/>
          <w:szCs w:val="44"/>
        </w:rPr>
        <w:tab/>
      </w:r>
      <w:r>
        <w:rPr>
          <w:rFonts w:hint="eastAsia"/>
          <w:b/>
          <w:sz w:val="32"/>
          <w:szCs w:val="44"/>
        </w:rPr>
        <w:tab/>
      </w:r>
      <w:r>
        <w:rPr>
          <w:rFonts w:hint="eastAsia"/>
          <w:b/>
          <w:sz w:val="32"/>
          <w:szCs w:val="44"/>
        </w:rPr>
        <w:tab/>
      </w:r>
      <w:r>
        <w:rPr>
          <w:rFonts w:hint="eastAsia"/>
          <w:bCs/>
          <w:sz w:val="32"/>
          <w:szCs w:val="44"/>
        </w:rPr>
        <w:tab/>
      </w:r>
    </w:p>
    <w:tbl>
      <w:tblPr>
        <w:tblStyle w:val="6"/>
        <w:tblW w:w="9980" w:type="dxa"/>
        <w:tblInd w:w="-43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2"/>
        <w:gridCol w:w="1613"/>
        <w:gridCol w:w="3055"/>
        <w:gridCol w:w="421"/>
        <w:gridCol w:w="1593"/>
        <w:gridCol w:w="162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工程名称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施工进度</w:t>
            </w:r>
          </w:p>
        </w:tc>
        <w:tc>
          <w:tcPr>
            <w:tcW w:w="1626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建设单位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项目负责人</w:t>
            </w:r>
          </w:p>
        </w:tc>
        <w:tc>
          <w:tcPr>
            <w:tcW w:w="1626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施工单位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项目负责人</w:t>
            </w:r>
          </w:p>
        </w:tc>
        <w:tc>
          <w:tcPr>
            <w:tcW w:w="1626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监理单位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项目总监</w:t>
            </w:r>
          </w:p>
        </w:tc>
        <w:tc>
          <w:tcPr>
            <w:tcW w:w="1626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1672" w:type="dxa"/>
            <w:vAlign w:val="center"/>
          </w:tcPr>
          <w:p>
            <w:pPr>
              <w:spacing w:line="0" w:lineRule="atLeast"/>
              <w:ind w:firstLine="560" w:firstLineChars="20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序号  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检查内容</w:t>
            </w:r>
          </w:p>
        </w:tc>
        <w:tc>
          <w:tcPr>
            <w:tcW w:w="1626" w:type="dxa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检查情况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混凝土（砂浆）试件制作和养护管理制度建立情况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。</w:t>
            </w:r>
          </w:p>
        </w:tc>
        <w:tc>
          <w:tcPr>
            <w:tcW w:w="1626" w:type="dxa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□符合 </w:t>
            </w:r>
          </w:p>
          <w:p>
            <w:pPr>
              <w:jc w:val="both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是否按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规范</w:t>
            </w:r>
            <w:r>
              <w:rPr>
                <w:rFonts w:hint="eastAsia" w:ascii="仿宋" w:hAnsi="仿宋" w:eastAsia="仿宋" w:cs="仿宋"/>
                <w:sz w:val="24"/>
              </w:rPr>
              <w:t>要求数量留置试件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及见证送检情况，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台账记录情况，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进出标准养护室或养护箱记录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情况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1626" w:type="dxa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□符合 </w:t>
            </w:r>
          </w:p>
          <w:p>
            <w:pPr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4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3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施工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现场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是否按要求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设置混凝土（砂浆）试件制作场所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以及标准养护室（或养护箱），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并纳入视频监控范围；随机抽查视频监控录像，查看是否留存有现场制作试件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及试件进出养护室过程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录像。</w:t>
            </w:r>
          </w:p>
          <w:p>
            <w:pPr>
              <w:pStyle w:val="2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  <w:tc>
          <w:tcPr>
            <w:tcW w:w="1626" w:type="dxa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□符合 </w:t>
            </w:r>
          </w:p>
          <w:p>
            <w:pPr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4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color w:val="0000FF"/>
                <w:sz w:val="24"/>
                <w:highlight w:val="yellow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试件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是否有</w:t>
            </w:r>
            <w:r>
              <w:rPr>
                <w:rFonts w:hint="eastAsia" w:ascii="仿宋" w:hAnsi="仿宋" w:eastAsia="仿宋" w:cs="仿宋"/>
                <w:sz w:val="24"/>
              </w:rPr>
              <w:t>唯一标识，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试块表面是否嵌入有工程名称、浇筑部位、浇筑时间、</w:t>
            </w:r>
            <w:r>
              <w:rPr>
                <w:rFonts w:hint="eastAsia" w:ascii="仿宋" w:hAnsi="仿宋" w:eastAsia="仿宋" w:cs="仿宋"/>
                <w:sz w:val="24"/>
              </w:rPr>
              <w:t>强度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标号</w:t>
            </w:r>
            <w:r>
              <w:rPr>
                <w:rFonts w:hint="eastAsia" w:ascii="仿宋" w:hAnsi="仿宋" w:eastAsia="仿宋" w:cs="仿宋"/>
                <w:sz w:val="24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见证人签名</w:t>
            </w:r>
            <w:r>
              <w:rPr>
                <w:rFonts w:hint="eastAsia" w:ascii="仿宋" w:hAnsi="仿宋" w:eastAsia="仿宋" w:cs="仿宋"/>
                <w:sz w:val="24"/>
              </w:rPr>
              <w:t>等信息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的卡片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</w:rPr>
              <w:t xml:space="preserve">符合 </w:t>
            </w:r>
          </w:p>
          <w:p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5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color w:val="0000FF"/>
                <w:sz w:val="24"/>
                <w:highlight w:val="yellow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同条件养护试件存放部位及成品保护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是否符合规范，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施工现场混凝土入场检验、浇筑、养护是否符合规范。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</w:rPr>
              <w:t xml:space="preserve">符合 </w:t>
            </w:r>
          </w:p>
          <w:p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6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标准养护室温湿度是否有效控制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，符合规范要求、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标准养护室存放的试件数量、批次与施工进度是否相符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</w:rPr>
              <w:t xml:space="preserve">符合 </w:t>
            </w:r>
          </w:p>
          <w:p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7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混凝土（砂浆）进场台账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</w:rPr>
              <w:t>配合比设计文件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三方</w:t>
            </w:r>
            <w:r>
              <w:rPr>
                <w:rFonts w:hint="eastAsia" w:ascii="仿宋" w:hAnsi="仿宋" w:eastAsia="仿宋" w:cs="仿宋"/>
                <w:sz w:val="24"/>
              </w:rPr>
              <w:t>交货检验记录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</w:rPr>
              <w:t>试件制作记录、标准养护试件养护记录、同条件试件日累计养护温度记录及试件台账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</w:rPr>
              <w:t xml:space="preserve">符合 </w:t>
            </w:r>
          </w:p>
          <w:p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8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查看试件送检报告以及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不合格试件的处理情况。</w:t>
            </w:r>
          </w:p>
        </w:tc>
        <w:tc>
          <w:tcPr>
            <w:tcW w:w="1626" w:type="dxa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</w:rPr>
              <w:t xml:space="preserve">符合 </w:t>
            </w: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7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9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lang w:eastAsia="zh-CN"/>
              </w:rPr>
            </w:pPr>
          </w:p>
          <w:p>
            <w:pPr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建筑用砂是否送检，是否违规使用海砂，建筑用砂和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预拌混凝土拌合物、既有结构或构件混凝土氯离子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检测情况是否符合要求。</w:t>
            </w:r>
          </w:p>
          <w:p>
            <w:pPr>
              <w:pStyle w:val="2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626" w:type="dxa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</w:rPr>
              <w:t xml:space="preserve">符合 </w:t>
            </w: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10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施工、监理企业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对预拌混凝土、预拌砂浆企业所使用的原材料进行见证抽样送检，每种原材料原则上每两个月抽样送检不少于一次，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检测参数是否齐全满足规范要求。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没有按规定对搅拌站使用的原材料进行见证抽样送检的，工程竣工验收前应按照每个建筑单体每 8 层为一个标准段对结构混凝土强度、氯离子含量开展钻芯取样检测 (不足 8 层的也为一个标准段 )，同时每个强度标号的混凝土抽样检测不少于一次）。</w:t>
            </w:r>
          </w:p>
          <w:p>
            <w:pPr>
              <w:pStyle w:val="2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□符合 </w:t>
            </w:r>
          </w:p>
          <w:p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11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lang w:val="en-US"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现场抽查部位：          </w:t>
            </w:r>
          </w:p>
          <w:p>
            <w:pP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混凝土进货日期、部位及批次：</w:t>
            </w:r>
          </w:p>
          <w:p>
            <w:pP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三方交货记录及验收内容是否齐全：       </w:t>
            </w:r>
          </w:p>
          <w:p>
            <w:pP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留置试件数量及养护情况：</w:t>
            </w:r>
          </w:p>
          <w:p>
            <w:pPr>
              <w:pStyle w:val="2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626" w:type="dxa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</w:rPr>
              <w:t xml:space="preserve">符合 </w:t>
            </w: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8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12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1626" w:type="dxa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9980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hint="eastAsia" w:ascii="仿宋" w:hAnsi="仿宋" w:eastAsia="仿宋" w:cs="仿宋"/>
                <w:sz w:val="28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检查人员</w:t>
            </w:r>
            <w:r>
              <w:rPr>
                <w:rFonts w:hint="eastAsia" w:ascii="仿宋" w:hAnsi="仿宋" w:eastAsia="仿宋" w:cs="仿宋"/>
                <w:sz w:val="28"/>
              </w:rPr>
              <w:t>：                                        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2" w:hRule="atLeast"/>
        </w:trPr>
        <w:tc>
          <w:tcPr>
            <w:tcW w:w="3285" w:type="dxa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建设</w:t>
            </w:r>
            <w:r>
              <w:rPr>
                <w:rFonts w:hint="eastAsia" w:ascii="仿宋" w:hAnsi="仿宋" w:eastAsia="仿宋" w:cs="仿宋"/>
                <w:sz w:val="24"/>
              </w:rPr>
              <w:t xml:space="preserve">单位代表： </w:t>
            </w: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</w:p>
          <w:p>
            <w:pPr>
              <w:jc w:val="righ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年  月  日</w:t>
            </w:r>
          </w:p>
        </w:tc>
        <w:tc>
          <w:tcPr>
            <w:tcW w:w="347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施工单位代表： </w:t>
            </w: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</w:p>
          <w:p>
            <w:pPr>
              <w:jc w:val="righ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年  月  日</w:t>
            </w:r>
          </w:p>
        </w:tc>
        <w:tc>
          <w:tcPr>
            <w:tcW w:w="3219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监理单位代表： </w:t>
            </w:r>
          </w:p>
          <w:p>
            <w:pPr>
              <w:rPr>
                <w:rFonts w:hint="eastAsia" w:ascii="仿宋" w:hAnsi="仿宋" w:eastAsia="仿宋" w:cs="仿宋"/>
                <w:sz w:val="24"/>
              </w:rPr>
            </w:pPr>
          </w:p>
          <w:p>
            <w:pPr>
              <w:jc w:val="righ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年  月  日</w:t>
            </w:r>
          </w:p>
        </w:tc>
      </w:tr>
    </w:tbl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FangSong_GB2312">
    <w:altName w:val="仿宋_GB2312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Y2Y2Q0OTFhMzMwN2U1Y2E2ZDEwMDAzZmU2NmE2MjkifQ=="/>
  </w:docVars>
  <w:rsids>
    <w:rsidRoot w:val="00000000"/>
    <w:rsid w:val="01AA6BAC"/>
    <w:rsid w:val="03534C61"/>
    <w:rsid w:val="0378063E"/>
    <w:rsid w:val="07D2277E"/>
    <w:rsid w:val="07E12EA9"/>
    <w:rsid w:val="0D69123A"/>
    <w:rsid w:val="0E035915"/>
    <w:rsid w:val="0E317059"/>
    <w:rsid w:val="0FF62F28"/>
    <w:rsid w:val="16D76FB2"/>
    <w:rsid w:val="1732566D"/>
    <w:rsid w:val="184A6D66"/>
    <w:rsid w:val="198E3D90"/>
    <w:rsid w:val="1AC77F88"/>
    <w:rsid w:val="1D8F0402"/>
    <w:rsid w:val="1EC63C6F"/>
    <w:rsid w:val="20130FCC"/>
    <w:rsid w:val="212C4BB1"/>
    <w:rsid w:val="2C0E415E"/>
    <w:rsid w:val="2C2E7C02"/>
    <w:rsid w:val="2DDC0B49"/>
    <w:rsid w:val="2E784D2C"/>
    <w:rsid w:val="2EE55FE3"/>
    <w:rsid w:val="30B10440"/>
    <w:rsid w:val="32916C85"/>
    <w:rsid w:val="32A41730"/>
    <w:rsid w:val="35547211"/>
    <w:rsid w:val="364D7626"/>
    <w:rsid w:val="366A6E19"/>
    <w:rsid w:val="369E782D"/>
    <w:rsid w:val="37657A91"/>
    <w:rsid w:val="376F02B9"/>
    <w:rsid w:val="3B1B6B72"/>
    <w:rsid w:val="3BA95B28"/>
    <w:rsid w:val="3EE76253"/>
    <w:rsid w:val="3FFA55EB"/>
    <w:rsid w:val="40763C9D"/>
    <w:rsid w:val="44E579D4"/>
    <w:rsid w:val="4749577D"/>
    <w:rsid w:val="4AB42428"/>
    <w:rsid w:val="4B0449D4"/>
    <w:rsid w:val="4F151A57"/>
    <w:rsid w:val="5043481A"/>
    <w:rsid w:val="51486962"/>
    <w:rsid w:val="5468072F"/>
    <w:rsid w:val="551B04BD"/>
    <w:rsid w:val="5605522E"/>
    <w:rsid w:val="566B62A7"/>
    <w:rsid w:val="578D1514"/>
    <w:rsid w:val="57C845F7"/>
    <w:rsid w:val="58503AE5"/>
    <w:rsid w:val="59B937CD"/>
    <w:rsid w:val="5C096D71"/>
    <w:rsid w:val="5CB03E2D"/>
    <w:rsid w:val="5D1A6027"/>
    <w:rsid w:val="609668AB"/>
    <w:rsid w:val="644D1F4A"/>
    <w:rsid w:val="646074DB"/>
    <w:rsid w:val="67D34F48"/>
    <w:rsid w:val="6B145351"/>
    <w:rsid w:val="6C4174B0"/>
    <w:rsid w:val="6DFB1706"/>
    <w:rsid w:val="6E586D17"/>
    <w:rsid w:val="700A573B"/>
    <w:rsid w:val="714C67BE"/>
    <w:rsid w:val="72BD7E3F"/>
    <w:rsid w:val="72DB5490"/>
    <w:rsid w:val="73CA58E3"/>
    <w:rsid w:val="775B4866"/>
    <w:rsid w:val="78BB41E0"/>
    <w:rsid w:val="7C3D54C0"/>
    <w:rsid w:val="7F2A6710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qFormat/>
    <w:uiPriority w:val="0"/>
    <w:pPr>
      <w:widowControl w:val="0"/>
      <w:snapToGrid w:val="0"/>
      <w:spacing w:line="360" w:lineRule="auto"/>
      <w:jc w:val="both"/>
    </w:pPr>
    <w:rPr>
      <w:rFonts w:ascii="Calibri" w:hAnsi="Calibri" w:eastAsia="仿宋_GB2312" w:cs="Times New Roman"/>
      <w:kern w:val="2"/>
      <w:sz w:val="18"/>
      <w:szCs w:val="18"/>
      <w:lang w:val="en-US" w:eastAsia="zh-CN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正文 New New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945</Words>
  <Characters>947</Characters>
  <Lines>0</Lines>
  <Paragraphs>0</Paragraphs>
  <TotalTime>0</TotalTime>
  <ScaleCrop>false</ScaleCrop>
  <LinksUpToDate>false</LinksUpToDate>
  <CharactersWithSpaces>1098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余昕</cp:lastModifiedBy>
  <cp:lastPrinted>2024-03-19T08:32:44Z</cp:lastPrinted>
  <dcterms:modified xsi:type="dcterms:W3CDTF">2024-03-19T08:34:48Z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  <property fmtid="{D5CDD505-2E9C-101B-9397-08002B2CF9AE}" pid="3" name="ICV">
    <vt:lpwstr>3AD5BF42B91C40E78D2BBE5526AF618E</vt:lpwstr>
  </property>
</Properties>
</file>