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E11" w:rsidRPr="003A0E11" w:rsidRDefault="003A0E11" w:rsidP="003A0E11">
      <w:pPr>
        <w:widowControl/>
        <w:shd w:val="clear" w:color="auto" w:fill="FFFFFF"/>
        <w:spacing w:line="360" w:lineRule="auto"/>
        <w:jc w:val="center"/>
        <w:outlineLvl w:val="0"/>
        <w:rPr>
          <w:rFonts w:asciiTheme="minorEastAsia" w:hAnsiTheme="minorEastAsia" w:cs="宋体"/>
          <w:b/>
          <w:color w:val="0E59A4"/>
          <w:kern w:val="36"/>
          <w:sz w:val="30"/>
          <w:szCs w:val="30"/>
        </w:rPr>
      </w:pPr>
      <w:r w:rsidRPr="003A0E11">
        <w:rPr>
          <w:rFonts w:asciiTheme="minorEastAsia" w:hAnsiTheme="minorEastAsia" w:cs="宋体" w:hint="eastAsia"/>
          <w:b/>
          <w:color w:val="0E59A4"/>
          <w:kern w:val="36"/>
          <w:sz w:val="30"/>
          <w:szCs w:val="30"/>
        </w:rPr>
        <w:t>佛山市南海区住房城乡建设和水利局关于印发2024年全区房屋市政工程质量安全监管工作要点及督查计划的通知</w:t>
      </w:r>
    </w:p>
    <w:p w:rsidR="003A0E11" w:rsidRPr="003A0E11" w:rsidRDefault="003A0E11" w:rsidP="003A0E11">
      <w:pPr>
        <w:widowControl/>
        <w:shd w:val="clear" w:color="auto" w:fill="FFFFFF"/>
        <w:spacing w:before="281" w:after="281" w:line="360" w:lineRule="auto"/>
        <w:jc w:val="center"/>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南建水函〔2024〕7号</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各镇（街道）城建和水利办公室，区建筑工程质量（施工安全）监督站、区建筑工程质量检测站，区水利投资建设有限公司、各建设、施工、监理单位，各有关单位：</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2024年，我局以习近平新时代中国特色社会主义思想为指导，深入贯彻落实党的二十大精神和习近平总书记关于安全生产重要论述，全面贯彻落实党中央、国务院决策部署和国务院安委会提出的防范遏制重特大事故15条硬措施、广东省安委会提出的65条具体措施以及佛山市安委88条实施细则，按照区委、区政府的工作要求，以提升建筑工程品质为主线，以防范遏制较大以上、减少一般安全生产事故为目标，以信息化为支撑，扎实推动工程质量安全治理体系和治理能力现代化。建筑工程质量安全监管，是我们中心工作、重点工作，我区全年工作要点及督查计划如下：</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一、压实各方主体责任，提升施工安全监管水平</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（一）实行安全生产形势分析会议制度。根据上级主管部门及区安委会最新工作部署，每季度召开一次区镇两级施工安全形势分析会，及时调度、掌握动态、研判对策、总结及部署工作。</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二）开展建设工程安全生产治本攻坚三年行动。研究印发我区建设工程安全生产三年治本攻坚行动方案，通过三年治本攻坚，进一步强化建筑行业企业单位统筹高质量发展和高水平安全的理念，不断压实安全生产监管责任和企业主体责任，提升安全监管水平。</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lastRenderedPageBreak/>
        <w:t xml:space="preserve">　　（三）强化危大工程安全管控。研究印发危险性较大分部分项工程专项整治行动工作方案，进一步加强对危大工程专项施工方案编制、审批、论证、执行等环节监管，计划每月采取“飞行检查”的方式对我区存在危险性较大分部分项工程的在建工地进行抽查。</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四）加强有限空间作业安全防范。研究印发住建水利系统有限空间作业专项整治工作方案，督促各相关企业严格落实有限空间管理“三个必须”工作措施：1.所有涉有限空间作业的工程部位，必须要树立或者悬挂有限空间“七个不准”的警示牌；2.所有涉及有限空间作业项目的场内所有人员，包括总包、分包、监理、工程检测等第三方服务单位以及一线作业员工，必须要熟背有限空间“七个不准”；3.有限空间作业报审后，施工期间，监理单位人员必须要旁站。</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五）加强监理企业监管。开展监理履职整治行动，充分发挥监理人员在工程建设过程中的监管作用，促进监理行业健康有序发展。把监理单位履职尽责落实情况纳入飞行检查内容，花大力气坚决整顿监理行业履职尽责问题。</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六）落实建筑施工领域安全培训全覆盖。1.“关键岗位”安全培训。组织开展多场在建项目管理人员施工安全培训活动，以建设单位项目负责人，施工单位项目经理、专职安全员，监理单位总监理工程师、专业监理工程等“关键岗位”管理人员为主，培训内容包括防高坠、深基坑、高支模以及起重机械安全管理等。2.违规从业人员培训。组织区内检查发现违规的工程管理人员进行安全培训，对于因发生安全事故或被责令停工的项目，须完成培训并取得相关证明后方可申请复工。3.监管执法人员培训。组织区镇两级全体工程监管执法人员开展业务培训，内容围绕工程监督检查重点、监管工作履职尽职、重大危险源辨析和风险评价等方面，提升监管服务水平，推动全区工程监督管理工作进一步规范化和标准化。4.严格落实“晨会”制度。在全区范围内全面推行安全“晨会”制度，进一步落实落细班组安全生产管理责任，完善建筑工地安全生产班前会制度，每日“晨会”必须按要求录影存工地备查。</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七）加强信息化建设。全面实施采用佛山市一体化平台质量安全监管管理系统协助日常监督，结合我区“南海智慧住建水利一张图”系统，进一步加强工程监管信息化建设和统筹管理，全面推进跨层级、跨部门、跨系统的信息资源共享和业务协同，进而提高办事效率和服务质量，实现工程项目全过程精细化管理。</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八）发挥安责险第三方技术服务的力量。全面推进建筑工程安全责任保险，充分发挥安责险第三方机构技术服务的力量，提升施工现场安全管理水平。为我区建筑施工安全监管补充力量，预防和减少建筑施工行业生产安全事故。</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二、加强工程质量监管，促进建设工程高质量发展</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一）贯彻落实《质量强国建设纲要》。推动工程项目创建各级优质工程奖项，规范参建各方主体责任行为，落实建设单位首要责任制，构建工程质量监管长效机制，切实强化工程质量监管，推动企业创建优质工程。继续挖掘和鼓励符合条件的项目，尤其是新开工项目积极参与申报各级优质工程，全面提升我区房屋建筑工程质量管理水平，大力营造我区房屋建筑工程创优争先的良好氛围。</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二）切实压实各方质量责任。严格贯彻落实《房屋市政工程建设单位落实质量安全首要责任管理规定》，督促建设单位负责牵头房屋市政工程建设各方落实质量管理的主体责任。进一步压实施工、监理单位质量主体责任，重点整治项目管理人员到位履责情况，地基基础检测、建筑原材料、构配件及混凝土试件等见证送检和质量不合格处理情况，加大执法力度，发生事故的依法予以严惩。</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三）强化工程质量监管。加强勘察设计质量监管，每季度抽查施工图审查合格的项目是否严格执行强制性标准条文和公共安全的一般标准条文的执行情况。加强勘察设计行业管理，促进工程建设设计和施工的有效衔接，每季度开展房屋建筑工程勘察设计单位施工现场履职检查。加强施工过程质量管控，尤其是地基基础等隐蔽工程施工质量的监管。对在建工程的主要建筑材料、结构实体和预拌混凝土（砂浆）企业的主要原材料开展监督抽检，着力推进工程质量常见问题预防和治理。持续开展对预拌混凝土（砂浆）生产企业和工程质量检测机构的检查抽查力度，提升飞行检查、监督抽检和第三方实体检测效能，加强源头管控，防范化解工程质量风险，保障工程质量。</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四）规范工程质量检测行为。持续开展对工程质量检测机构的专项整治检查抽查，规范全区建设工程质量检测市场秩序，压实各建设工程质量检测机构主体责任,切实加强我区建设工程质量检测机构的监督管理，确保建设工程质量检测的真实性和可靠性。进一步提高我区建设工程质量检测管理水平，建立健康、良性竞争的工程质量检测市场秩序，保障我区建筑业高质量发展。</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五）加强信息化监管。重点检查工程质量检测机构是否按照《佛山市南海区住房城乡建设和水利局关于进一步规范南海区房屋建筑工程质量检测管理的通知》（南建水函〔2023〕6号）等文件要求上传有关信息至各级建设工程质量检测监管平台，是否按要求做好视频监控和视频储存工作等。借助信息化及大数据力量协助开展工程质量检测试验全过程精细化管理，防止出具工程质量检测虚假报告。</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六）规范预拌混凝土企业绿色生产管理。持续推进预拌混凝土行业的结构调整与产业升级，指导推创绿色达标企业，协助企业解决实际困难，争取实现预拌混凝土生产与城乡建设、环境保护的协调发展、贯彻落实省住建厅和市住建局行业发展规划规定的混凝土搅拌站要实现绿色生产星际达标的目标。</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三、有序开展各类监督检查计划</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（一）开展2024年复工复产督导检查：为进一步压实复工复产各方安全生产主体责任，我局计划于自2月中下旬起，从各业务股室抽调业务骨干组成6个复工督导组，深入到每一个建设工地，重点督导工程复工情况。</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二）开展季度房屋市政工程质量和施工安全生产大检查：计划于2024年3月、6月、9月、12月分别开展一次季度房屋市政工程质量和施工安全生产大检查。抽检在建房屋建筑和市政基础设施工程，重点是存在深基坑、高支模、建筑起重机械等危险性较大分部分项工程的在建项目，以及保障性住房工程、大型公共建筑工程。同时紧密结合实际形势和上级最新工作部署，在检查时有所侧重，如6月份第二季度大检查将结合上级关于“安全生产月”有关部署开展检查工作，9月份第三季度大检查结合上级关于“质量月”有关部署开展检查工作。</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三）开展半年度预拌混凝土、预拌砂浆生产企业综合性检查：计划对区内各预拌混凝土、预拌砂浆生产企业开展半年度综合性检查。检查内容主要包括：企业资质条件和人员配备以及在岗履职情况；生产设备备案情况；试验室综合管理情况；信息化管理情况；对在用原材料台账管理情况；安全管理机构和职责；安全生产投入；安全生产管理制度；生产设备及安全设施等。</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四）开展年度全区工程质量（建筑起重机械）检测机构专项检查：1.计划于2024年开展年度全区工程质量检测工作专项检查。对南海区内工程质量检测机构进行检查，检查内容主要包括：检测机构基本条件（资质、诚信管理、人员资格、质量体系、设施和环境、仪器设备、规范标准配备情况等）；样品（试件）与原始记录管理；检测报告与发放登记管理；依法在核准检测业务范围开展业务情况；信息化管理情况；现场检测情况；执行各级行政管理部门有关法律法规和规范性文件的情况等。2.计划于2024年开展年度全区建筑起重机械检测工作专项检查。对南海区内建筑起重机械检测机构进行检查，检查内容主要包括：检测机构基本条件（资质、诚信管理、人员资格、质量体系、设施和环境、仪器设备、规范标准配备情况等）；原始记录管理；检测报告与发放登记管理；依法在核准检测业务范围开展业务情况；信息化管理情况；现场检测情况；执行各级行政管理部门有关法律法规和规范性文件的情况等。</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五）开展季度房屋建筑工程设计质量和施工图审查质量专项检查：计划于2024年3月、6月、9月、12月分别开展一次季度房屋建筑工程设计质量和施工图审查质量专项检查。抽查已完成审查或在审查的民用建筑项目、工业建筑项目及装饰装修项目。检查内容主要包括：是否落实设计单位项目负责人质量终身责任制；是否按照规划部门批准的文件进行设计；设计依据的规范、标准是否正确；设计文件编制深度是否符合现行相关规定要求；是否严格执行强制性标准条文，是否执行涉及公共利益和公共安全的一般标准条文，建筑节能、光纤到户、无障碍设施标准执行情况；是否按规定进行绿色建筑设计和审查；是否按规定进行超限抗震设防审查及初步设计审查；施工图审查机构是否存在“违强”瞒报及超资格范围审查等违规行为等。</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六）开展年度建筑节能与绿色建筑专项检查：计划于2024年开展本年度建筑节能与绿色建筑专项检查。抽查待验收或进入装饰装修阶段的在建民用建筑工程。检查项目在设计、施工图设计文件审查、施工和验收环节执行建筑节能与绿色建筑标准情况。</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七）开展年度镇街工程质量安全监管考核工作：根据区委、区政府2024年度绩效考核有关工作部署和绩效评价指标分配情况，制定相应的对镇街工程质量安全考核方案，通过查阅各镇（街道）有关监管资料、工程档案，抽查在建镇管房建市政工程等方式，对各镇（街道）城建和水利办公室2024年度房屋市政工程质量安全、建筑节能及绿色建筑发展监管情况进行考核评分。</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八）开展年度区建筑工程质量（施工安全）监督站考核工作：根据上级主管部门工作要求，制定区监督站监督工作考核方案，通过查阅区监督站有关监管资料、三随机资料、工程档案，抽查在建镇管房建市政工程等方式，对区监督站2024年度工程监督工作情况进行考核。</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九）开展工程质量安全监管领域飞行检查：1.根据《佛山市南海区住房城乡建设和水利局关于印发工程质量监管领域飞行检查工作方案的通知》（南建水函〔2022〕53号）有关要求，计划每月采取“飞行检查”的方式，抽查在建房屋市政工程施工现场质量、建筑节能管理情况或预拌混凝土（砂浆）生产企业质量管理情况或工程质量（建筑起重机械）检测机构管理情况。2.开展在建工程安全生产飞行检查，采取“四不两直”，强管严管。</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十）开展各类施工安全专项检查：计划针对建筑事故易发时段、环节，结合实际安全形势和上级有关工作部署，适时印发起重机械、高处作业、消防安全、汛期防汛防台风、有限空间作业等各专项整治工作方案，开展各类专项检查，并将各专项整治工作方案与季度质量和施工安全生产大检查、“飞行检查”紧密结合，重点对存在危险性较大分部分项工程的项目进行安全隐患排查整治。</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四、以党建引领工作效能提升</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开展“支部建在工地，党建深入现场”工作，大力推进“红色工地”示范项目创建，指导建筑工地融合党建做好项目创优争先、安全风险防控、技术管理创新、突发事件应对等方面工作,狠抓质量安全保障措施落实。</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附件：2024年监管督查计划表</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w:t>
      </w:r>
    </w:p>
    <w:p w:rsidR="003A0E11" w:rsidRPr="003A0E11" w:rsidRDefault="003A0E11" w:rsidP="003A0E11">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佛山市南海区住房城乡建设和水利局</w:t>
      </w:r>
    </w:p>
    <w:p w:rsidR="003A0E11" w:rsidRPr="003A0E11" w:rsidRDefault="003A0E11" w:rsidP="003A0E11">
      <w:pPr>
        <w:widowControl/>
        <w:shd w:val="clear" w:color="auto" w:fill="FFFFFF"/>
        <w:spacing w:before="281" w:after="281" w:line="360" w:lineRule="auto"/>
        <w:jc w:val="righ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2024年3月7日</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Default="003A0E11" w:rsidP="003A0E11">
      <w:pPr>
        <w:widowControl/>
        <w:shd w:val="clear" w:color="auto" w:fill="FFFFFF"/>
        <w:spacing w:before="281" w:after="281" w:line="360" w:lineRule="auto"/>
        <w:jc w:val="left"/>
        <w:rPr>
          <w:rFonts w:asciiTheme="minorEastAsia" w:hAnsiTheme="minorEastAsia" w:cs="宋体"/>
          <w:color w:val="333333"/>
          <w:kern w:val="0"/>
          <w:sz w:val="24"/>
          <w:szCs w:val="24"/>
        </w:rPr>
      </w:pP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br w:type="textWrapping" w:clear="all"/>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附件</w:t>
      </w:r>
    </w:p>
    <w:p w:rsidR="003A0E11" w:rsidRPr="003A0E11" w:rsidRDefault="003A0E11" w:rsidP="003A0E11">
      <w:pPr>
        <w:widowControl/>
        <w:shd w:val="clear" w:color="auto" w:fill="FFFFFF"/>
        <w:spacing w:before="281" w:after="281" w:line="360" w:lineRule="auto"/>
        <w:jc w:val="center"/>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xml:space="preserve">　　2024年监管督查计划表</w:t>
      </w:r>
    </w:p>
    <w:p w:rsidR="003A0E11" w:rsidRPr="003A0E11" w:rsidRDefault="003A0E11" w:rsidP="003A0E11">
      <w:pPr>
        <w:widowControl/>
        <w:shd w:val="clear" w:color="auto" w:fill="FFFFFF"/>
        <w:spacing w:before="281" w:after="281" w:line="360" w:lineRule="auto"/>
        <w:jc w:val="left"/>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w:t>
      </w:r>
    </w:p>
    <w:tbl>
      <w:tblPr>
        <w:tblW w:w="10065" w:type="dxa"/>
        <w:tblInd w:w="-720"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840"/>
        <w:gridCol w:w="1145"/>
        <w:gridCol w:w="1418"/>
        <w:gridCol w:w="992"/>
        <w:gridCol w:w="1701"/>
        <w:gridCol w:w="3969"/>
      </w:tblGrid>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序号</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检查类别</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组织部门</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督查频率</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被检查对象</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检查内容</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1</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专项检查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质安股、建管股以及区监督站</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节后复工复产审查通过的房屋市政工程</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ind w:leftChars="-264" w:left="-554" w:firstLineChars="231" w:firstLine="554"/>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节后复工前安全生产准备工作，包括1.管理人员到岗履职；2.节后复工“六个一”落实情况；3.危大工程、施工现场消防安全及有限空间管理工作情况等。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2</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飞行检查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每月1-2次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在建房屋市政工程、预拌混凝土（砂浆）生产企业、工程质量（建筑起重机械）检测机构</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在建房屋市政工程危险性较大分部分项工程管理情况、施工现场质量、建筑节能管理情况、预拌混凝土（砂浆）质量情况、检测管理情况、各方责任主体履职情况等。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3</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季度检查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质安股（散水办）牵头，区质监站、区检测站配合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每季度1次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在建房屋市政工程</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工程质量及施工安全有关情况等。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4</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季度检查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每季度1次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在建房屋市政工程</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是否落实设计单位项目负责人质量终身责任制；是否按照规划部门批准的文件进行设计；是否按有关标准规范进行设计；施工图审查机构是否存在“违强”瞒报及超资格范围审查等违规行为等。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5</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专项检查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质安股（散水办）牵头，区质监站配合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按实际需要确定</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按实际情况确定</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按照上级文件要求和实际情况确定。</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6</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专项检查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质安股（散水办）牵头，区质监站配合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每年2次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预拌混凝土（砂浆）生产企业</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企业资质和人员配备情况、试验室综合管理情况、质量管理情况、安全生产管理情况等。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7</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专项检查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质安股（散水办）牵头，区质监站配合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工程质量（建筑起重机械）检测机构</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检测机构基本条件（资质、诚信管理、人员资格、质量体系、设施和环境、仪器设备、规范标准配备情况等）；样品（试件）与原始记录管理；检测报告与发放登记管理；信息化管理情况；现场检测情况等。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8</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专项检查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质安股（散水办）牵头，区质监站及各镇（街道）建办配合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在建民用建筑工程</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检查项目在设计、施工图设计文件审查、施工和验收环节执行建筑节能与绿色建筑标准情况。</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9</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考核督查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质安股牵头，建管股、区质监站配合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各镇（街道）城建和水利办公室</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房屋市政工程质量安全、建筑节能及绿色建筑发展监管情况等。</w:t>
            </w:r>
          </w:p>
        </w:tc>
      </w:tr>
      <w:tr w:rsidR="003A0E11" w:rsidRPr="003A0E11" w:rsidTr="003A0E11">
        <w:tc>
          <w:tcPr>
            <w:tcW w:w="840"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10</w:t>
            </w:r>
          </w:p>
        </w:tc>
        <w:tc>
          <w:tcPr>
            <w:tcW w:w="1145"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考核督查</w:t>
            </w:r>
          </w:p>
        </w:tc>
        <w:tc>
          <w:tcPr>
            <w:tcW w:w="1418"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质安股牵头，区监督站配合</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每年1次</w:t>
            </w:r>
          </w:p>
        </w:tc>
        <w:tc>
          <w:tcPr>
            <w:tcW w:w="1701"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区建筑工程质量（施工安全）监督站</w:t>
            </w:r>
          </w:p>
        </w:tc>
        <w:tc>
          <w:tcPr>
            <w:tcW w:w="3969" w:type="dxa"/>
            <w:tcBorders>
              <w:top w:val="single" w:sz="8" w:space="0" w:color="000000"/>
              <w:left w:val="single" w:sz="8" w:space="0" w:color="000000"/>
              <w:bottom w:val="single" w:sz="8" w:space="0" w:color="000000"/>
              <w:right w:val="single" w:sz="8" w:space="0" w:color="000000"/>
            </w:tcBorders>
            <w:shd w:val="clear" w:color="auto" w:fill="FFFFFF"/>
            <w:tcMar>
              <w:top w:w="94" w:type="dxa"/>
              <w:left w:w="131" w:type="dxa"/>
              <w:bottom w:w="94" w:type="dxa"/>
              <w:right w:w="131" w:type="dxa"/>
            </w:tcMar>
            <w:vAlign w:val="center"/>
            <w:hideMark/>
          </w:tcPr>
          <w:p w:rsidR="003A0E11" w:rsidRPr="003A0E11" w:rsidRDefault="003A0E11" w:rsidP="003A0E11">
            <w:pPr>
              <w:widowControl/>
              <w:spacing w:before="281" w:after="281" w:line="360" w:lineRule="auto"/>
              <w:jc w:val="left"/>
              <w:rPr>
                <w:rFonts w:asciiTheme="minorEastAsia" w:hAnsiTheme="minorEastAsia" w:cs="宋体"/>
                <w:color w:val="333333"/>
                <w:kern w:val="0"/>
                <w:sz w:val="24"/>
                <w:szCs w:val="24"/>
              </w:rPr>
            </w:pPr>
            <w:r w:rsidRPr="003A0E11">
              <w:rPr>
                <w:rFonts w:asciiTheme="minorEastAsia" w:hAnsiTheme="minorEastAsia" w:cs="宋体" w:hint="eastAsia"/>
                <w:color w:val="333333"/>
                <w:kern w:val="0"/>
                <w:sz w:val="24"/>
                <w:szCs w:val="24"/>
              </w:rPr>
              <w:t>通过查阅区监督站有关监管资料、三随机资料、工程档案，抽查在建镇管房建市政工程等方式，对区监督站工程监督工作情况进行考核。</w:t>
            </w:r>
          </w:p>
        </w:tc>
      </w:tr>
    </w:tbl>
    <w:p w:rsidR="003A0E11" w:rsidRPr="003A0E11" w:rsidRDefault="003A0E11" w:rsidP="003A0E11">
      <w:pPr>
        <w:widowControl/>
        <w:shd w:val="clear" w:color="auto" w:fill="FFFFFF"/>
        <w:spacing w:before="281" w:after="281" w:line="360" w:lineRule="auto"/>
        <w:jc w:val="center"/>
        <w:rPr>
          <w:rFonts w:asciiTheme="minorEastAsia" w:hAnsiTheme="minorEastAsia" w:cs="宋体" w:hint="eastAsia"/>
          <w:color w:val="333333"/>
          <w:kern w:val="0"/>
          <w:sz w:val="24"/>
          <w:szCs w:val="24"/>
        </w:rPr>
      </w:pPr>
      <w:r w:rsidRPr="003A0E11">
        <w:rPr>
          <w:rFonts w:asciiTheme="minorEastAsia" w:hAnsiTheme="minorEastAsia" w:cs="宋体" w:hint="eastAsia"/>
          <w:color w:val="333333"/>
          <w:kern w:val="0"/>
          <w:sz w:val="24"/>
          <w:szCs w:val="24"/>
        </w:rPr>
        <w:t> </w:t>
      </w:r>
    </w:p>
    <w:p w:rsidR="00D411B7" w:rsidRPr="003A0E11" w:rsidRDefault="00D411B7"/>
    <w:sectPr w:rsidR="00D411B7" w:rsidRPr="003A0E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11B7" w:rsidRDefault="00D411B7" w:rsidP="003A0E11">
      <w:r>
        <w:separator/>
      </w:r>
    </w:p>
  </w:endnote>
  <w:endnote w:type="continuationSeparator" w:id="1">
    <w:p w:rsidR="00D411B7" w:rsidRDefault="00D411B7" w:rsidP="003A0E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11B7" w:rsidRDefault="00D411B7" w:rsidP="003A0E11">
      <w:r>
        <w:separator/>
      </w:r>
    </w:p>
  </w:footnote>
  <w:footnote w:type="continuationSeparator" w:id="1">
    <w:p w:rsidR="00D411B7" w:rsidRDefault="00D411B7" w:rsidP="003A0E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A0E11"/>
    <w:rsid w:val="003A0E11"/>
    <w:rsid w:val="00D41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A0E1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A0E1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A0E11"/>
    <w:rPr>
      <w:sz w:val="18"/>
      <w:szCs w:val="18"/>
    </w:rPr>
  </w:style>
  <w:style w:type="paragraph" w:styleId="a4">
    <w:name w:val="footer"/>
    <w:basedOn w:val="a"/>
    <w:link w:val="Char0"/>
    <w:uiPriority w:val="99"/>
    <w:semiHidden/>
    <w:unhideWhenUsed/>
    <w:rsid w:val="003A0E1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A0E11"/>
    <w:rPr>
      <w:sz w:val="18"/>
      <w:szCs w:val="18"/>
    </w:rPr>
  </w:style>
  <w:style w:type="character" w:customStyle="1" w:styleId="1Char">
    <w:name w:val="标题 1 Char"/>
    <w:basedOn w:val="a0"/>
    <w:link w:val="1"/>
    <w:uiPriority w:val="9"/>
    <w:rsid w:val="003A0E11"/>
    <w:rPr>
      <w:rFonts w:ascii="宋体" w:eastAsia="宋体" w:hAnsi="宋体" w:cs="宋体"/>
      <w:b/>
      <w:bCs/>
      <w:kern w:val="36"/>
      <w:sz w:val="48"/>
      <w:szCs w:val="48"/>
    </w:rPr>
  </w:style>
  <w:style w:type="paragraph" w:styleId="a5">
    <w:name w:val="Normal (Web)"/>
    <w:basedOn w:val="a"/>
    <w:uiPriority w:val="99"/>
    <w:unhideWhenUsed/>
    <w:rsid w:val="003A0E1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74782062">
      <w:bodyDiv w:val="1"/>
      <w:marLeft w:val="0"/>
      <w:marRight w:val="0"/>
      <w:marTop w:val="0"/>
      <w:marBottom w:val="0"/>
      <w:divBdr>
        <w:top w:val="none" w:sz="0" w:space="0" w:color="auto"/>
        <w:left w:val="none" w:sz="0" w:space="0" w:color="auto"/>
        <w:bottom w:val="none" w:sz="0" w:space="0" w:color="auto"/>
        <w:right w:val="none" w:sz="0" w:space="0" w:color="auto"/>
      </w:divBdr>
    </w:div>
    <w:div w:id="1808356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919</Words>
  <Characters>5243</Characters>
  <Application>Microsoft Office Word</Application>
  <DocSecurity>0</DocSecurity>
  <Lines>43</Lines>
  <Paragraphs>12</Paragraphs>
  <ScaleCrop>false</ScaleCrop>
  <Company>Regaltec</Company>
  <LinksUpToDate>false</LinksUpToDate>
  <CharactersWithSpaces>6150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2024-03-12T02:00:00Z</dcterms:created>
  <dcterms:modified xsi:type="dcterms:W3CDTF">2024-03-12T02:03:00Z</dcterms:modified>
</cp:coreProperties>
</file>